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A1" w:rsidRPr="000776B9" w:rsidRDefault="000776B9" w:rsidP="00DF1D99">
      <w:pPr>
        <w:jc w:val="left"/>
        <w:rPr>
          <w:rFonts w:ascii="Times New Roman" w:hAnsi="Times New Roman"/>
          <w:szCs w:val="28"/>
        </w:rPr>
      </w:pPr>
      <w:r w:rsidRPr="000776B9">
        <w:rPr>
          <w:rFonts w:ascii="Times New Roman" w:hAnsi="Times New Roman"/>
          <w:szCs w:val="28"/>
        </w:rPr>
        <w:t>Перечень услуг, оказываемых территориальными центрами занятости населения</w:t>
      </w:r>
      <w:r w:rsidR="00DF1D99">
        <w:rPr>
          <w:rFonts w:ascii="Times New Roman" w:hAnsi="Times New Roman"/>
          <w:szCs w:val="28"/>
        </w:rPr>
        <w:t xml:space="preserve"> Самарской области</w:t>
      </w:r>
    </w:p>
    <w:p w:rsidR="00EF46A1" w:rsidRDefault="00EF46A1">
      <w:pPr>
        <w:rPr>
          <w:rFonts w:ascii="Standard Symbols PS" w:hAnsi="Standard Symbols P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4"/>
        <w:gridCol w:w="8318"/>
        <w:gridCol w:w="4936"/>
        <w:gridCol w:w="4936"/>
      </w:tblGrid>
      <w:tr w:rsidR="000776B9" w:rsidTr="000776B9">
        <w:trPr>
          <w:trHeight w:val="3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>
            <w:pPr>
              <w:jc w:val="center"/>
              <w:rPr>
                <w:rFonts w:ascii="Standard Symbols PS" w:hAnsi="Standard Symbols PS"/>
                <w:b/>
              </w:rPr>
            </w:pPr>
            <w:r>
              <w:rPr>
                <w:rFonts w:ascii="Standard Symbols PS" w:hAnsi="Standard Symbols PS"/>
                <w:b/>
              </w:rPr>
              <w:t xml:space="preserve">№ </w:t>
            </w:r>
            <w:proofErr w:type="gramStart"/>
            <w:r>
              <w:rPr>
                <w:rFonts w:ascii="Standard Symbols PS" w:hAnsi="Standard Symbols PS"/>
                <w:b/>
              </w:rPr>
              <w:t>п</w:t>
            </w:r>
            <w:proofErr w:type="gramEnd"/>
            <w:r>
              <w:rPr>
                <w:rFonts w:ascii="Standard Symbols PS" w:hAnsi="Standard Symbols PS"/>
                <w:b/>
              </w:rPr>
              <w:t>/п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9" w:rsidRDefault="000776B9">
            <w:pPr>
              <w:jc w:val="center"/>
              <w:rPr>
                <w:rFonts w:ascii="Standard Symbols PS" w:hAnsi="Standard Symbols PS"/>
                <w:b/>
              </w:rPr>
            </w:pPr>
            <w:r>
              <w:rPr>
                <w:rFonts w:ascii="Standard Symbols PS" w:hAnsi="Standard Symbols PS"/>
                <w:b/>
              </w:rPr>
              <w:t>Наименован</w:t>
            </w:r>
            <w:bookmarkStart w:id="0" w:name="_GoBack"/>
            <w:bookmarkEnd w:id="0"/>
            <w:r>
              <w:rPr>
                <w:rFonts w:ascii="Standard Symbols PS" w:hAnsi="Standard Symbols PS"/>
                <w:b/>
              </w:rPr>
              <w:t>ие государственных услуг, мероприятий, программ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9" w:rsidRDefault="000776B9">
            <w:pPr>
              <w:jc w:val="center"/>
              <w:rPr>
                <w:rFonts w:ascii="Standard Symbols PS" w:hAnsi="Standard Symbols PS"/>
                <w:b/>
              </w:rPr>
            </w:pPr>
            <w:r>
              <w:rPr>
                <w:rFonts w:ascii="Standard Symbols PS" w:hAnsi="Standard Symbols PS"/>
                <w:b/>
              </w:rPr>
              <w:t xml:space="preserve">Категории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6B9" w:rsidRDefault="000776B9">
            <w:pPr>
              <w:jc w:val="center"/>
              <w:rPr>
                <w:rFonts w:ascii="Standard Symbols PS" w:hAnsi="Standard Symbols PS"/>
                <w:b/>
              </w:rPr>
            </w:pPr>
            <w:r>
              <w:rPr>
                <w:rFonts w:ascii="Standard Symbols PS" w:hAnsi="Standard Symbols PS"/>
                <w:b/>
              </w:rPr>
              <w:t>Содержание</w:t>
            </w:r>
          </w:p>
        </w:tc>
      </w:tr>
      <w:tr w:rsidR="000776B9" w:rsidTr="000776B9">
        <w:trPr>
          <w:trHeight w:val="3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 w:rsidP="000776B9">
            <w:pPr>
              <w:spacing w:before="120" w:after="120"/>
              <w:ind w:left="120" w:right="120" w:hanging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1.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spacing w:before="120" w:after="120"/>
              <w:ind w:left="120" w:right="120" w:hanging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Содействие гражданам в поиске подходящей работы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  <w:highlight w:val="white"/>
              </w:rPr>
              <w:t>Граждане, зарегистрированные в целях поиска подходящей работы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numPr>
                <w:ilvl w:val="0"/>
                <w:numId w:val="1"/>
              </w:numPr>
              <w:spacing w:after="30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spacing w:val="3"/>
              </w:rPr>
              <w:t xml:space="preserve"> Для получения услуги гражданину необходимо подать заявление с использованием портала </w:t>
            </w:r>
            <w:proofErr w:type="spellStart"/>
            <w:r>
              <w:rPr>
                <w:rFonts w:ascii="Standard Symbols PS" w:hAnsi="Standard Symbols PS"/>
                <w:spacing w:val="3"/>
              </w:rPr>
              <w:t>Госуслуг</w:t>
            </w:r>
            <w:proofErr w:type="spellEnd"/>
            <w:r>
              <w:rPr>
                <w:rFonts w:ascii="Standard Symbols PS" w:hAnsi="Standard Symbols PS"/>
                <w:spacing w:val="3"/>
              </w:rPr>
              <w:t xml:space="preserve"> или портала «Работа России».</w:t>
            </w:r>
            <w:r>
              <w:t xml:space="preserve"> </w:t>
            </w:r>
            <w:r w:rsidRPr="000776B9">
              <w:rPr>
                <w:rFonts w:ascii="Standard Symbols PS" w:hAnsi="Standard Symbols PS"/>
                <w:spacing w:val="3"/>
              </w:rPr>
              <w:t>https://trudvsem.ru/</w:t>
            </w:r>
          </w:p>
          <w:p w:rsidR="000776B9" w:rsidRDefault="000776B9" w:rsidP="000776B9">
            <w:pPr>
              <w:spacing w:after="30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spacing w:val="3"/>
              </w:rPr>
              <w:t>Если гражданин претендует на статус безработного и получение пособия по безработице, это необходимо указать в заявлении.</w:t>
            </w:r>
          </w:p>
          <w:p w:rsidR="000776B9" w:rsidRDefault="000776B9" w:rsidP="000776B9">
            <w:pPr>
              <w:numPr>
                <w:ilvl w:val="0"/>
                <w:numId w:val="1"/>
              </w:numPr>
              <w:spacing w:after="300" w:line="216" w:lineRule="auto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По итогам получения услуги гражданин получает содействие в трудоустройстве со стороны центра занятости, а именно:</w:t>
            </w:r>
          </w:p>
          <w:p w:rsidR="000776B9" w:rsidRDefault="000776B9" w:rsidP="000776B9">
            <w:pPr>
              <w:numPr>
                <w:ilvl w:val="0"/>
                <w:numId w:val="2"/>
              </w:numPr>
              <w:spacing w:after="300" w:line="216" w:lineRule="auto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перечень подходящих вакансий (направление на работу);</w:t>
            </w:r>
          </w:p>
          <w:p w:rsidR="000776B9" w:rsidRDefault="000776B9" w:rsidP="000776B9">
            <w:pPr>
              <w:numPr>
                <w:ilvl w:val="0"/>
                <w:numId w:val="2"/>
              </w:numPr>
              <w:spacing w:line="216" w:lineRule="auto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приглашение на собеседование (не более двух).</w:t>
            </w:r>
          </w:p>
          <w:p w:rsidR="000776B9" w:rsidRDefault="000776B9" w:rsidP="000776B9">
            <w:pPr>
              <w:spacing w:line="216" w:lineRule="auto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 xml:space="preserve">Если гражданин будет признан безработным, то ему </w:t>
            </w:r>
            <w:proofErr w:type="gramStart"/>
            <w:r>
              <w:rPr>
                <w:rFonts w:ascii="Standard Symbols PS" w:hAnsi="Standard Symbols PS"/>
                <w:highlight w:val="white"/>
              </w:rPr>
              <w:t>будет выплачиваться пособие по безработице и период получения пособия</w:t>
            </w:r>
            <w:proofErr w:type="gramEnd"/>
            <w:r>
              <w:rPr>
                <w:rFonts w:ascii="Standard Symbols PS" w:hAnsi="Standard Symbols PS"/>
                <w:highlight w:val="white"/>
              </w:rPr>
              <w:t xml:space="preserve"> будет засчитываться в страховой стаж.</w:t>
            </w:r>
          </w:p>
        </w:tc>
      </w:tr>
      <w:tr w:rsidR="000776B9" w:rsidTr="000776B9">
        <w:trPr>
          <w:trHeight w:val="26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2.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  <w:highlight w:val="white"/>
              </w:rPr>
              <w:t>Организация сопровождения при содействии занятости инвалидов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Н</w:t>
            </w:r>
            <w:r>
              <w:rPr>
                <w:rFonts w:ascii="Standard Symbols PS" w:hAnsi="Standard Symbols PS"/>
                <w:highlight w:val="white"/>
              </w:rPr>
              <w:t xml:space="preserve">езанятые инвалиды, нуждающиеся в оказании индивидуальной помощи в виде организации сопровождения при трудоустройстве, с учётом рекомендаций, содержащихся в индивидуальной программе реабилитации или </w:t>
            </w:r>
            <w:proofErr w:type="spellStart"/>
            <w:r>
              <w:rPr>
                <w:rFonts w:ascii="Standard Symbols PS" w:hAnsi="Standard Symbols PS"/>
                <w:highlight w:val="white"/>
              </w:rPr>
              <w:t>абилитации</w:t>
            </w:r>
            <w:proofErr w:type="spellEnd"/>
            <w:r>
              <w:rPr>
                <w:rFonts w:ascii="Standard Symbols PS" w:hAnsi="Standard Symbols PS"/>
                <w:highlight w:val="white"/>
              </w:rPr>
              <w:t xml:space="preserve"> инвалида, разрабатываемой федеральным учреждением </w:t>
            </w:r>
            <w:proofErr w:type="gramStart"/>
            <w:r>
              <w:rPr>
                <w:rFonts w:ascii="Standard Symbols PS" w:hAnsi="Standard Symbols PS"/>
                <w:highlight w:val="white"/>
              </w:rPr>
              <w:t>медико-социальной</w:t>
            </w:r>
            <w:proofErr w:type="gramEnd"/>
            <w:r>
              <w:rPr>
                <w:rFonts w:ascii="Standard Symbols PS" w:hAnsi="Standard Symbols PS"/>
                <w:highlight w:val="white"/>
              </w:rPr>
              <w:t xml:space="preserve"> экспертизы.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numPr>
                <w:ilvl w:val="0"/>
                <w:numId w:val="3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Государственная услуга по организации сопровождения при содействии занятости инвалидов – это индивидуальная помощь в поиске работы и трудоустройстве.</w:t>
            </w:r>
          </w:p>
          <w:p w:rsidR="000776B9" w:rsidRDefault="000776B9" w:rsidP="000776B9">
            <w:pPr>
              <w:ind w:left="720" w:hanging="360"/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При принятии решения о нуждаемости инвалида в сопровождении при содействии занятости</w:t>
            </w:r>
            <w:proofErr w:type="gramStart"/>
            <w:r>
              <w:rPr>
                <w:rFonts w:ascii="Standard Symbols PS" w:hAnsi="Standard Symbols PS"/>
              </w:rPr>
              <w:t xml:space="preserve"> ,</w:t>
            </w:r>
            <w:proofErr w:type="gramEnd"/>
            <w:r>
              <w:rPr>
                <w:rFonts w:ascii="Standard Symbols PS" w:hAnsi="Standard Symbols PS"/>
              </w:rPr>
              <w:t xml:space="preserve"> ему будет назначен сопровождающий.</w:t>
            </w:r>
          </w:p>
          <w:p w:rsidR="000776B9" w:rsidRDefault="000776B9" w:rsidP="000776B9">
            <w:pPr>
              <w:ind w:left="720" w:hanging="360"/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Карьерные консультанты кадровых центров сопровождают соискателей с инвалидностью на всех этапах поиска работы, трудоустройства и помогают работодателю в адаптации нового работника в коллективе.</w:t>
            </w:r>
          </w:p>
          <w:p w:rsidR="000776B9" w:rsidRDefault="000776B9" w:rsidP="000776B9">
            <w:pPr>
              <w:numPr>
                <w:ilvl w:val="0"/>
                <w:numId w:val="3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Доступные возможности:</w:t>
            </w:r>
          </w:p>
          <w:p w:rsidR="000776B9" w:rsidRDefault="000776B9" w:rsidP="000776B9">
            <w:pPr>
              <w:numPr>
                <w:ilvl w:val="0"/>
                <w:numId w:val="4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подбор подходящих вакансий, в том числе квотируемых и на специально оборудованные рабочие места;</w:t>
            </w:r>
          </w:p>
          <w:p w:rsidR="000776B9" w:rsidRDefault="000776B9" w:rsidP="000776B9">
            <w:pPr>
              <w:numPr>
                <w:ilvl w:val="0"/>
                <w:numId w:val="4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разработка маршрута к месту проведения собеседований и обратно;</w:t>
            </w:r>
          </w:p>
          <w:p w:rsidR="000776B9" w:rsidRDefault="000776B9" w:rsidP="000776B9">
            <w:pPr>
              <w:numPr>
                <w:ilvl w:val="0"/>
                <w:numId w:val="4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обеспечение помещения для собеседования специальной аппаратуры;</w:t>
            </w:r>
          </w:p>
          <w:p w:rsidR="000776B9" w:rsidRDefault="000776B9" w:rsidP="000776B9">
            <w:pPr>
              <w:numPr>
                <w:ilvl w:val="0"/>
                <w:numId w:val="4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 xml:space="preserve">привлечение </w:t>
            </w:r>
            <w:proofErr w:type="spellStart"/>
            <w:r>
              <w:rPr>
                <w:rFonts w:ascii="Standard Symbols PS" w:hAnsi="Standard Symbols PS"/>
              </w:rPr>
              <w:t>сурдопереводчика</w:t>
            </w:r>
            <w:proofErr w:type="spellEnd"/>
            <w:r>
              <w:rPr>
                <w:rFonts w:ascii="Standard Symbols PS" w:hAnsi="Standard Symbols PS"/>
              </w:rPr>
              <w:t xml:space="preserve"> и специалиста – психолога;</w:t>
            </w:r>
          </w:p>
          <w:p w:rsidR="000776B9" w:rsidRDefault="000776B9" w:rsidP="000776B9">
            <w:pPr>
              <w:numPr>
                <w:ilvl w:val="0"/>
                <w:numId w:val="4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индивидуальный план по адаптации соискателя с инвалидностью в коллективе после его трудоустройству</w:t>
            </w:r>
          </w:p>
        </w:tc>
      </w:tr>
      <w:tr w:rsidR="000776B9" w:rsidTr="000776B9">
        <w:trPr>
          <w:trHeight w:val="26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 w:rsidP="000776B9">
            <w:pPr>
              <w:spacing w:before="120" w:after="120"/>
              <w:ind w:left="120" w:right="120" w:hanging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3.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spacing w:before="120" w:after="120"/>
              <w:ind w:left="120" w:right="120" w:hanging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Организация проведения оплачиваемых общественных работ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numPr>
                <w:ilvl w:val="0"/>
                <w:numId w:val="5"/>
              </w:numPr>
              <w:spacing w:after="120"/>
              <w:ind w:left="270" w:firstLine="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граждане, ищущие работу;</w:t>
            </w:r>
          </w:p>
          <w:p w:rsidR="000776B9" w:rsidRDefault="000776B9" w:rsidP="000776B9">
            <w:pPr>
              <w:numPr>
                <w:ilvl w:val="0"/>
                <w:numId w:val="6"/>
              </w:numPr>
              <w:spacing w:after="120"/>
              <w:ind w:left="270" w:firstLine="0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 xml:space="preserve">     безработные граждане.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      </w:r>
          </w:p>
          <w:p w:rsidR="000776B9" w:rsidRDefault="000776B9" w:rsidP="000776B9">
            <w:p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proofErr w:type="gramStart"/>
            <w:r>
              <w:rPr>
                <w:rFonts w:ascii="Standard Symbols PS" w:hAnsi="Standard Symbols PS"/>
                <w:highlight w:val="white"/>
              </w:rPr>
              <w:t>Государственная услуга по организации проведения оплачиваемых общественных работ направлена на обеспечение права граждан на труд и на вознаграждение за труд, удовлетворение потребности граждан, зарегистрированных в органах службы занятости в целях поиска подходящей работы (далее – граждан, ищущих работу), и зарегистрированных в органах службы занятости в качестве безработных граждан в соответствии с законодательством о занятости населения (далее – безработных граждан), в работе и</w:t>
            </w:r>
            <w:proofErr w:type="gramEnd"/>
            <w:r>
              <w:rPr>
                <w:rFonts w:ascii="Standard Symbols PS" w:hAnsi="Standard Symbols PS"/>
                <w:highlight w:val="white"/>
              </w:rPr>
              <w:t xml:space="preserve"> </w:t>
            </w:r>
            <w:proofErr w:type="gramStart"/>
            <w:r>
              <w:rPr>
                <w:rFonts w:ascii="Standard Symbols PS" w:hAnsi="Standard Symbols PS"/>
                <w:highlight w:val="white"/>
              </w:rPr>
              <w:t>заработке</w:t>
            </w:r>
            <w:proofErr w:type="gramEnd"/>
            <w:r>
              <w:rPr>
                <w:rFonts w:ascii="Standard Symbols PS" w:hAnsi="Standard Symbols PS"/>
                <w:highlight w:val="white"/>
              </w:rPr>
              <w:t>.</w:t>
            </w:r>
          </w:p>
          <w:p w:rsidR="000776B9" w:rsidRDefault="000776B9" w:rsidP="000776B9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Дополнительные возможности:</w:t>
            </w:r>
          </w:p>
          <w:p w:rsidR="000776B9" w:rsidRDefault="000776B9" w:rsidP="000776B9">
            <w:pPr>
              <w:numPr>
                <w:ilvl w:val="0"/>
                <w:numId w:val="8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</w:rPr>
              <w:t>материальной поддержки от центра занятости (кроме граждан, участвующих в общественных работах и указанных в пункте 3 статьи 4 Закона РФ «О занятости населения»).</w:t>
            </w:r>
          </w:p>
        </w:tc>
      </w:tr>
      <w:tr w:rsidR="000776B9" w:rsidTr="000776B9">
        <w:trPr>
          <w:trHeight w:val="156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4.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  <w:highlight w:val="white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  <w:highlight w:val="white"/>
              </w:rPr>
              <w:t>Несовершеннолетние граждане в возрасте от 14 до 18 лет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  <w:highlight w:val="white"/>
              </w:rPr>
              <w:t xml:space="preserve">Получение несовершеннолетним гражданином направления для временного трудоустройства, </w:t>
            </w:r>
            <w:r>
              <w:rPr>
                <w:rFonts w:ascii="Standard Symbols PS" w:hAnsi="Standard Symbols PS"/>
              </w:rPr>
              <w:t>материальной поддержки от центра занятости  (при условиях обращения несовершеннолетнего в центре занятости в целях трудоустройства), опыт взаимодействия со взрослыми коллегами и наставниками</w:t>
            </w:r>
            <w:proofErr w:type="gramStart"/>
            <w:r>
              <w:rPr>
                <w:rFonts w:ascii="Standard Symbols PS" w:hAnsi="Standard Symbols PS"/>
              </w:rPr>
              <w:t xml:space="preserve"> .</w:t>
            </w:r>
            <w:proofErr w:type="gramEnd"/>
          </w:p>
        </w:tc>
      </w:tr>
      <w:tr w:rsidR="000776B9" w:rsidTr="000776B9">
        <w:trPr>
          <w:trHeight w:val="26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5.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  <w:highlight w:val="white"/>
              </w:rPr>
              <w:t>Организация временного трудоустройства безработных граждан, испытывающих трудности в поиске работы,</w:t>
            </w:r>
          </w:p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безработных граждан в возрасте от 18 до 25 лет, имеющие среднее профессиональное образование или высшее образование ищущие работу в течени</w:t>
            </w:r>
            <w:proofErr w:type="gramStart"/>
            <w:r>
              <w:rPr>
                <w:rFonts w:ascii="Standard Symbols PS" w:hAnsi="Standard Symbols PS"/>
              </w:rPr>
              <w:t>и</w:t>
            </w:r>
            <w:proofErr w:type="gramEnd"/>
            <w:r>
              <w:rPr>
                <w:rFonts w:ascii="Standard Symbols PS" w:hAnsi="Standard Symbols PS"/>
              </w:rPr>
              <w:t xml:space="preserve"> года с даты выдачи документа об образовании и о квалификации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numPr>
                <w:ilvl w:val="0"/>
                <w:numId w:val="9"/>
              </w:numPr>
              <w:spacing w:after="120"/>
              <w:ind w:left="270" w:firstLine="0"/>
              <w:jc w:val="center"/>
              <w:rPr>
                <w:rFonts w:ascii="Standard Symbols PS" w:hAnsi="Standard Symbols PS"/>
                <w:highlight w:val="white"/>
              </w:rPr>
            </w:pPr>
            <w:proofErr w:type="gramStart"/>
            <w:r>
              <w:rPr>
                <w:rFonts w:ascii="Standard Symbols PS" w:hAnsi="Standard Symbols PS"/>
                <w:highlight w:val="white"/>
              </w:rPr>
              <w:t xml:space="preserve">безработные граждане, испытывающие трудности в поиске работы (инвалиды; освобожденные из учреждений, исполняющих наказание в виде лишения свободы; лица </w:t>
            </w:r>
            <w:proofErr w:type="spellStart"/>
            <w:r>
              <w:rPr>
                <w:rFonts w:ascii="Standard Symbols PS" w:hAnsi="Standard Symbols PS"/>
                <w:highlight w:val="white"/>
              </w:rPr>
              <w:t>предпенсионного</w:t>
            </w:r>
            <w:proofErr w:type="spellEnd"/>
            <w:r>
              <w:rPr>
                <w:rFonts w:ascii="Standard Symbols PS" w:hAnsi="Standard Symbols PS"/>
                <w:highlight w:val="white"/>
              </w:rPr>
              <w:t xml:space="preserve"> возраста; беженцы и вынужденные переселенцы; уволенные с военной службы и члены их семей; одинокие и многодетные родители, воспитывающие несовершеннолетних детей, детей-инвалидов; подвергшиеся воздействию радиации вследствие чернобыльской и других радиационных аварий и катастроф);</w:t>
            </w:r>
            <w:proofErr w:type="gramEnd"/>
          </w:p>
          <w:p w:rsidR="000776B9" w:rsidRDefault="000776B9" w:rsidP="000776B9">
            <w:pPr>
              <w:numPr>
                <w:ilvl w:val="0"/>
                <w:numId w:val="9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граждане в возрасте от 18 до 25, </w:t>
            </w:r>
            <w:r>
              <w:rPr>
                <w:rFonts w:ascii="Standard Symbols PS" w:hAnsi="Standard Symbols PS"/>
              </w:rPr>
              <w:t xml:space="preserve"> имеющие среднее профессиональное образование или высшее образование ищущие работу в течени</w:t>
            </w:r>
            <w:proofErr w:type="gramStart"/>
            <w:r>
              <w:rPr>
                <w:rFonts w:ascii="Standard Symbols PS" w:hAnsi="Standard Symbols PS"/>
              </w:rPr>
              <w:t>и</w:t>
            </w:r>
            <w:proofErr w:type="gramEnd"/>
            <w:r>
              <w:rPr>
                <w:rFonts w:ascii="Standard Symbols PS" w:hAnsi="Standard Symbols PS"/>
              </w:rPr>
              <w:t xml:space="preserve"> года с даты выдачи документа об образовании и о квалификации</w:t>
            </w:r>
          </w:p>
          <w:p w:rsidR="000776B9" w:rsidRDefault="000776B9" w:rsidP="000776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Государственная услуга направлена на обеспечение права граждан на труд и на вознаграждение за труд, удовлетворение потребности граждан в работе и заработке.</w:t>
            </w:r>
          </w:p>
          <w:p w:rsidR="000776B9" w:rsidRDefault="000776B9" w:rsidP="000776B9">
            <w:pPr>
              <w:numPr>
                <w:ilvl w:val="0"/>
                <w:numId w:val="10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Результатом предоставления государственной услуги является:</w:t>
            </w:r>
          </w:p>
          <w:p w:rsidR="000776B9" w:rsidRDefault="000776B9" w:rsidP="000776B9">
            <w:pPr>
              <w:numPr>
                <w:ilvl w:val="0"/>
                <w:numId w:val="11"/>
              </w:numPr>
              <w:spacing w:after="120"/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  <w:highlight w:val="white"/>
              </w:rPr>
              <w:t>получение безработным гражданином, испытывающим трудности в поиске работы,  или безработным гражданином в возрасте от 18 до  25, </w:t>
            </w:r>
            <w:r>
              <w:rPr>
                <w:rFonts w:ascii="Standard Symbols PS" w:hAnsi="Standard Symbols PS"/>
              </w:rPr>
              <w:t xml:space="preserve"> имеющие среднее профессиональное образование или высшее образование ищущие работу в течени</w:t>
            </w:r>
            <w:proofErr w:type="gramStart"/>
            <w:r>
              <w:rPr>
                <w:rFonts w:ascii="Standard Symbols PS" w:hAnsi="Standard Symbols PS"/>
              </w:rPr>
              <w:t>и</w:t>
            </w:r>
            <w:proofErr w:type="gramEnd"/>
            <w:r>
              <w:rPr>
                <w:rFonts w:ascii="Standard Symbols PS" w:hAnsi="Standard Symbols PS"/>
              </w:rPr>
              <w:t xml:space="preserve"> года с даты выдачи документа об образовании и о квалификации</w:t>
            </w:r>
            <w:r>
              <w:rPr>
                <w:rFonts w:ascii="Standard Symbols PS" w:hAnsi="Standard Symbols PS"/>
                <w:highlight w:val="white"/>
              </w:rPr>
              <w:t>, направления для временного трудоустройства</w:t>
            </w:r>
          </w:p>
          <w:p w:rsidR="000776B9" w:rsidRDefault="000776B9" w:rsidP="000776B9">
            <w:pPr>
              <w:numPr>
                <w:ilvl w:val="0"/>
                <w:numId w:val="11"/>
              </w:numPr>
              <w:spacing w:after="120"/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получение материальной поддержки от центра занятости.</w:t>
            </w:r>
          </w:p>
          <w:p w:rsidR="000776B9" w:rsidRDefault="000776B9" w:rsidP="000776B9">
            <w:p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</w:p>
        </w:tc>
      </w:tr>
      <w:tr w:rsidR="000776B9" w:rsidTr="000776B9">
        <w:trPr>
          <w:trHeight w:val="26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 w:rsidP="000776B9">
            <w:pPr>
              <w:spacing w:before="120" w:after="120"/>
              <w:ind w:left="120" w:right="120" w:hanging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6.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spacing w:before="120" w:after="120"/>
              <w:ind w:left="120" w:right="120" w:hanging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Содействие предпринимательской деятельности безработных граждан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spacing w:before="120" w:after="120"/>
              <w:ind w:left="120" w:right="120" w:hanging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Граждане, признанные в установленном порядке безработным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numPr>
                <w:ilvl w:val="0"/>
                <w:numId w:val="12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Центр занятости бесплатно предоставляет следующий спектр услуг безработным гражданам в рамках данной услуги:</w:t>
            </w:r>
          </w:p>
          <w:p w:rsidR="000776B9" w:rsidRDefault="000776B9" w:rsidP="000776B9">
            <w:pPr>
              <w:numPr>
                <w:ilvl w:val="0"/>
                <w:numId w:val="13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 xml:space="preserve">проведение тестирования (анкетирование), направленное на выявление способностей и готовности к осуществлению предпринимательской деятельности, наличия необходимых знаний в сфере экономики, финансов, налогообложения, юриспруденции и других отраслях знаний, требующихся при осуществлении предпринимательской деятельности, наличие навыков, необходимых для ведения крестьянского (фермерского) хозяйства, реализации </w:t>
            </w:r>
            <w:proofErr w:type="spellStart"/>
            <w:r>
              <w:rPr>
                <w:rFonts w:ascii="Standard Symbols PS" w:hAnsi="Standard Symbols PS"/>
                <w:highlight w:val="white"/>
              </w:rPr>
              <w:t>самозанятости</w:t>
            </w:r>
            <w:proofErr w:type="spellEnd"/>
            <w:r>
              <w:rPr>
                <w:rFonts w:ascii="Standard Symbols PS" w:hAnsi="Standard Symbols PS"/>
                <w:highlight w:val="white"/>
              </w:rPr>
              <w:t>;</w:t>
            </w:r>
          </w:p>
          <w:p w:rsidR="000776B9" w:rsidRDefault="000776B9" w:rsidP="000776B9">
            <w:pPr>
              <w:numPr>
                <w:ilvl w:val="0"/>
                <w:numId w:val="13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предоставление информационных материалов по вопросам организации предпринимательской деятельности;</w:t>
            </w:r>
          </w:p>
          <w:p w:rsidR="000776B9" w:rsidRDefault="000776B9" w:rsidP="000776B9">
            <w:pPr>
              <w:numPr>
                <w:ilvl w:val="0"/>
                <w:numId w:val="13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направление в организации и учреждения, входящие в инфраструктуру поддержки субъектов малого и среднего предпринимательства, или к специалистам в области поддержки субъектов малого и среднего предпринимательства для получения поддержки (финансовой, имущественной, информационной и консультационной);</w:t>
            </w:r>
          </w:p>
          <w:p w:rsidR="000776B9" w:rsidRDefault="000776B9" w:rsidP="000776B9">
            <w:pPr>
              <w:numPr>
                <w:ilvl w:val="0"/>
                <w:numId w:val="13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проведение консультаций по составлению бизнес-плана.</w:t>
            </w:r>
          </w:p>
          <w:p w:rsidR="000776B9" w:rsidRDefault="000776B9" w:rsidP="000776B9">
            <w:p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2. Безработным гражданам может быть предоставлена единовременная финансовая помощь в размере 100 тыс. рублей.</w:t>
            </w:r>
          </w:p>
          <w:p w:rsidR="000776B9" w:rsidRDefault="000776B9" w:rsidP="000776B9">
            <w:p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Одним из условий оказания единовременной финансовой помощи является предоставление бизнес-плана с обоснованием затрат на организацию предпринимательской деятельности.</w:t>
            </w:r>
          </w:p>
          <w:p w:rsidR="000776B9" w:rsidRDefault="000776B9" w:rsidP="000776B9">
            <w:p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Окончательное решение принимается комиссией по рассмотрению бизнес-планов.</w:t>
            </w:r>
          </w:p>
          <w:p w:rsidR="000776B9" w:rsidRDefault="000776B9" w:rsidP="000776B9">
            <w:p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3. Результатом предоставления государственной услуги является:</w:t>
            </w:r>
          </w:p>
          <w:p w:rsidR="000776B9" w:rsidRDefault="000776B9" w:rsidP="000776B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выдача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 либо содержащего сведения о принятии безработным гражданином решения о нецелесообразности осуществления предпринимательской деятельности;</w:t>
            </w:r>
          </w:p>
          <w:p w:rsidR="000776B9" w:rsidRDefault="000776B9" w:rsidP="000776B9">
            <w:pPr>
              <w:numPr>
                <w:ilvl w:val="0"/>
                <w:numId w:val="14"/>
              </w:numPr>
              <w:spacing w:after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получение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доход.</w:t>
            </w:r>
          </w:p>
        </w:tc>
      </w:tr>
      <w:tr w:rsidR="000776B9" w:rsidTr="000776B9">
        <w:trPr>
          <w:trHeight w:val="26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7.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Психологическая поддержка безработных граждан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Безработные граждане.</w:t>
            </w:r>
          </w:p>
          <w:p w:rsidR="000776B9" w:rsidRDefault="000776B9" w:rsidP="000776B9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Граждане</w:t>
            </w:r>
            <w:proofErr w:type="gramEnd"/>
            <w:r>
              <w:rPr>
                <w:rFonts w:ascii="Times New Roman" w:hAnsi="Times New Roman"/>
              </w:rPr>
              <w:t xml:space="preserve"> ищущие работу, относящиеся к категории испытывающих трудности в поиске работы.</w:t>
            </w:r>
          </w:p>
          <w:p w:rsidR="000776B9" w:rsidRDefault="000776B9" w:rsidP="000776B9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Граждане</w:t>
            </w:r>
            <w:proofErr w:type="gramEnd"/>
            <w:r>
              <w:rPr>
                <w:rFonts w:ascii="Times New Roman" w:hAnsi="Times New Roman"/>
              </w:rPr>
              <w:t xml:space="preserve"> ищущие работу, находящиеся под угрозой увольнения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  <w:highlight w:val="white"/>
              </w:rPr>
              <w:t>Государственная услуга направлена на повышение мотивации безработного гражданина к труду, активизацию позиции по поиску работы и трудоустройству, сокращение сроков поиска работы и трудоустройства, полное 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реализацию профессиональной карьеры путем оптимизации психологического состояния.</w:t>
            </w:r>
          </w:p>
        </w:tc>
      </w:tr>
      <w:tr w:rsidR="000776B9" w:rsidTr="000776B9">
        <w:trPr>
          <w:trHeight w:val="20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 w:rsidP="000776B9">
            <w:pPr>
              <w:spacing w:before="120" w:after="120"/>
              <w:ind w:left="120" w:right="120" w:hanging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8.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spacing w:before="120" w:after="120"/>
              <w:ind w:left="120" w:right="120" w:hanging="12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Организация профессиональной ориентации граждан в целях выбора сферы деятельности (профессии)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spacing w:after="120"/>
              <w:ind w:left="270"/>
              <w:jc w:val="center"/>
              <w:rPr>
                <w:rFonts w:ascii="Standard Symbols PS" w:hAnsi="Standard Symbols PS"/>
                <w:highlight w:val="white"/>
              </w:rPr>
            </w:pPr>
            <w:r>
              <w:rPr>
                <w:rFonts w:ascii="Standard Symbols PS" w:hAnsi="Standard Symbols PS"/>
                <w:highlight w:val="white"/>
              </w:rPr>
              <w:t>Граждане Российской Федерации, иностранные граждане, лица без гражданства, включая безработных граждан.</w:t>
            </w:r>
          </w:p>
          <w:p w:rsidR="000776B9" w:rsidRDefault="000776B9" w:rsidP="000776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spacing w:before="120" w:after="120"/>
              <w:ind w:left="120" w:right="120" w:hanging="120"/>
              <w:jc w:val="center"/>
              <w:rPr>
                <w:rFonts w:ascii="Standard Symbols PS" w:hAnsi="Standard Symbols PS"/>
                <w:highlight w:val="white"/>
              </w:rPr>
            </w:pPr>
            <w:proofErr w:type="gramStart"/>
            <w:r>
              <w:rPr>
                <w:rFonts w:ascii="Standard Symbols PS" w:hAnsi="Standard Symbols PS"/>
                <w:highlight w:val="white"/>
              </w:rPr>
              <w:t>Государственная услуга направлена на реализацию права граждан на труд, свободный выбор рода деятельности, профессии (специальности), вида и характера труда, на удовлетворение потребности в профессиональном самоопределении, выборе оптимального вида занятости с учетом потребностей и возможностей гражданина и социально-экономической ситуации на рынке труда, определении профессии (специальности) для прохождения профессионального обучения и получения дополнительного профессионального образования.</w:t>
            </w:r>
            <w:proofErr w:type="gramEnd"/>
          </w:p>
        </w:tc>
      </w:tr>
      <w:tr w:rsidR="000776B9" w:rsidTr="000776B9">
        <w:trPr>
          <w:trHeight w:val="262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9.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Социальная адаптация безработных граждан на рынке труда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numPr>
                <w:ilvl w:val="0"/>
                <w:numId w:val="16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Безработные граждане.</w:t>
            </w:r>
          </w:p>
          <w:p w:rsidR="000776B9" w:rsidRDefault="000776B9" w:rsidP="000776B9">
            <w:pPr>
              <w:numPr>
                <w:ilvl w:val="0"/>
                <w:numId w:val="16"/>
              </w:numPr>
              <w:jc w:val="center"/>
              <w:rPr>
                <w:rFonts w:ascii="Standard Symbols PS" w:hAnsi="Standard Symbols PS"/>
              </w:rPr>
            </w:pPr>
            <w:proofErr w:type="gramStart"/>
            <w:r>
              <w:rPr>
                <w:rFonts w:ascii="Standard Symbols PS" w:hAnsi="Standard Symbols PS"/>
              </w:rPr>
              <w:t>Граждане</w:t>
            </w:r>
            <w:proofErr w:type="gramEnd"/>
            <w:r>
              <w:rPr>
                <w:rFonts w:ascii="Standard Symbols PS" w:hAnsi="Standard Symbols PS"/>
              </w:rPr>
              <w:t xml:space="preserve"> ищущие работу, относящиеся к категории испытывающих трудности в поиске работы.</w:t>
            </w:r>
          </w:p>
          <w:p w:rsidR="000776B9" w:rsidRDefault="000776B9" w:rsidP="000776B9">
            <w:pPr>
              <w:numPr>
                <w:ilvl w:val="0"/>
                <w:numId w:val="16"/>
              </w:numPr>
              <w:jc w:val="center"/>
              <w:rPr>
                <w:rFonts w:ascii="Standard Symbols PS" w:hAnsi="Standard Symbols PS"/>
              </w:rPr>
            </w:pPr>
            <w:proofErr w:type="gramStart"/>
            <w:r>
              <w:rPr>
                <w:rFonts w:ascii="Standard Symbols PS" w:hAnsi="Standard Symbols PS"/>
              </w:rPr>
              <w:t>Граждане</w:t>
            </w:r>
            <w:proofErr w:type="gramEnd"/>
            <w:r>
              <w:rPr>
                <w:rFonts w:ascii="Standard Symbols PS" w:hAnsi="Standard Symbols PS"/>
              </w:rPr>
              <w:t xml:space="preserve"> ищущие работу, находящиеся под угрозой увольнения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Государственная услуга дает возможности гражданину:</w:t>
            </w:r>
          </w:p>
          <w:p w:rsidR="000776B9" w:rsidRDefault="000776B9" w:rsidP="000776B9">
            <w:pPr>
              <w:numPr>
                <w:ilvl w:val="0"/>
                <w:numId w:val="17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рекомендации по поиску работы и формированию активной жизненной позиции;</w:t>
            </w:r>
          </w:p>
          <w:p w:rsidR="000776B9" w:rsidRDefault="000776B9" w:rsidP="000776B9">
            <w:pPr>
              <w:numPr>
                <w:ilvl w:val="0"/>
                <w:numId w:val="17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содействие в составлении резюме;</w:t>
            </w:r>
          </w:p>
          <w:p w:rsidR="000776B9" w:rsidRDefault="000776B9" w:rsidP="000776B9">
            <w:pPr>
              <w:numPr>
                <w:ilvl w:val="0"/>
                <w:numId w:val="17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 xml:space="preserve">тренинги по совершенствованию навыков делового общения и </w:t>
            </w:r>
            <w:proofErr w:type="spellStart"/>
            <w:r>
              <w:rPr>
                <w:rFonts w:ascii="Standard Symbols PS" w:hAnsi="Standard Symbols PS"/>
              </w:rPr>
              <w:t>самопрезентации</w:t>
            </w:r>
            <w:proofErr w:type="spellEnd"/>
            <w:r>
              <w:rPr>
                <w:rFonts w:ascii="Standard Symbols PS" w:hAnsi="Standard Symbols PS"/>
              </w:rPr>
              <w:t>;</w:t>
            </w:r>
          </w:p>
          <w:p w:rsidR="000776B9" w:rsidRDefault="000776B9" w:rsidP="000776B9">
            <w:pPr>
              <w:numPr>
                <w:ilvl w:val="0"/>
                <w:numId w:val="17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инструменты эффективной адаптации в новом коллективе.</w:t>
            </w:r>
          </w:p>
        </w:tc>
      </w:tr>
      <w:tr w:rsidR="000776B9" w:rsidTr="000776B9">
        <w:trPr>
          <w:trHeight w:val="3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10.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Standard Symbols PS" w:hAnsi="Standard Symbols PS"/>
              </w:rPr>
              <w:t>Граждане безработные</w:t>
            </w:r>
            <w:r>
              <w:rPr>
                <w:rFonts w:ascii="Times New Roman" w:hAnsi="Times New Roman"/>
              </w:rPr>
              <w:t>.</w:t>
            </w:r>
          </w:p>
          <w:p w:rsidR="000776B9" w:rsidRDefault="000776B9" w:rsidP="000776B9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Граждане</w:t>
            </w:r>
            <w:proofErr w:type="gramEnd"/>
            <w:r>
              <w:rPr>
                <w:rFonts w:ascii="Times New Roman" w:hAnsi="Times New Roman"/>
              </w:rPr>
              <w:t xml:space="preserve"> ищущие работу, относящиеся к категории испытывающих трудности в поиске работы.</w:t>
            </w:r>
          </w:p>
          <w:p w:rsidR="000776B9" w:rsidRDefault="000776B9" w:rsidP="000776B9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Граждане</w:t>
            </w:r>
            <w:proofErr w:type="gramEnd"/>
            <w:r>
              <w:rPr>
                <w:rFonts w:ascii="Times New Roman" w:hAnsi="Times New Roman"/>
              </w:rPr>
              <w:t xml:space="preserve"> ищущие работу, находящиеся под угрозой увольнения.</w:t>
            </w:r>
          </w:p>
          <w:p w:rsidR="000776B9" w:rsidRDefault="000776B9" w:rsidP="000776B9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Граждане</w:t>
            </w:r>
            <w:proofErr w:type="gramEnd"/>
            <w:r>
              <w:rPr>
                <w:rFonts w:ascii="Times New Roman" w:hAnsi="Times New Roman"/>
              </w:rPr>
              <w:t xml:space="preserve"> ищущие работу и относящиеся к категории уволенных с военной службы и членам семей военнослужащих.</w:t>
            </w:r>
          </w:p>
          <w:p w:rsidR="000776B9" w:rsidRDefault="000776B9" w:rsidP="000776B9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Граждане</w:t>
            </w:r>
            <w:proofErr w:type="gramEnd"/>
            <w:r>
              <w:rPr>
                <w:rFonts w:ascii="Times New Roman" w:hAnsi="Times New Roman"/>
              </w:rPr>
              <w:t xml:space="preserve"> указанные в пункте 4</w:t>
            </w:r>
            <w:r>
              <w:t xml:space="preserve"> </w:t>
            </w:r>
            <w:r>
              <w:rPr>
                <w:rFonts w:ascii="Times New Roman" w:hAnsi="Times New Roman"/>
              </w:rPr>
              <w:t>постановления Правительства РФ от 27 мая 2021 г. 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Государственная услуга дает возможности гражданину:</w:t>
            </w:r>
          </w:p>
          <w:p w:rsidR="000776B9" w:rsidRDefault="000776B9" w:rsidP="000776B9">
            <w:pPr>
              <w:numPr>
                <w:ilvl w:val="0"/>
                <w:numId w:val="19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выбрать новую профессию или вид деятельности;</w:t>
            </w:r>
          </w:p>
          <w:p w:rsidR="000776B9" w:rsidRDefault="000776B9" w:rsidP="000776B9">
            <w:pPr>
              <w:numPr>
                <w:ilvl w:val="0"/>
                <w:numId w:val="19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повысить свою квалификацию и совершить карьерный прорыв;</w:t>
            </w:r>
          </w:p>
          <w:p w:rsidR="000776B9" w:rsidRDefault="000776B9" w:rsidP="000776B9">
            <w:pPr>
              <w:numPr>
                <w:ilvl w:val="0"/>
                <w:numId w:val="19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подобрать образовательную программу;</w:t>
            </w:r>
          </w:p>
          <w:p w:rsidR="000776B9" w:rsidRDefault="000776B9" w:rsidP="000776B9">
            <w:pPr>
              <w:numPr>
                <w:ilvl w:val="0"/>
                <w:numId w:val="19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получить направление на обучение;</w:t>
            </w:r>
          </w:p>
          <w:p w:rsidR="000776B9" w:rsidRDefault="000776B9" w:rsidP="000776B9">
            <w:pPr>
              <w:numPr>
                <w:ilvl w:val="0"/>
                <w:numId w:val="19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компенсировать затраты на обучение в другой местности.</w:t>
            </w:r>
          </w:p>
        </w:tc>
      </w:tr>
      <w:tr w:rsidR="000776B9" w:rsidTr="000776B9">
        <w:trPr>
          <w:trHeight w:val="3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11.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proofErr w:type="spellStart"/>
            <w:proofErr w:type="gramStart"/>
            <w:r>
              <w:rPr>
                <w:rFonts w:ascii="Standard Symbols PS" w:hAnsi="Standard Symbols PS"/>
              </w:rPr>
              <w:t>C</w:t>
            </w:r>
            <w:proofErr w:type="gramEnd"/>
            <w:r>
              <w:rPr>
                <w:rFonts w:ascii="Standard Symbols PS" w:hAnsi="Standard Symbols PS"/>
              </w:rPr>
              <w:t>одействие</w:t>
            </w:r>
            <w:proofErr w:type="spellEnd"/>
            <w:r>
              <w:rPr>
                <w:rFonts w:ascii="Standard Symbols PS" w:hAnsi="Standard Symbols PS"/>
              </w:rPr>
              <w:t xml:space="preserve"> безработным гражданам и гражданам, зарегистрированным в целях поиска подходящей работы, в переезде и переселении в пределах Самарской области с целью трудоустройства по направлению службы занятости населения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Граждане, зарегистрированные в центре занятости населения в качестве безработного или ищущего работу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При переезде для временного трудоустройства;</w:t>
            </w:r>
          </w:p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При переселении вместе с семьей на новое место жительства</w:t>
            </w:r>
          </w:p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Оказывается финансовая поддержка гражданам:</w:t>
            </w:r>
          </w:p>
          <w:p w:rsidR="000776B9" w:rsidRDefault="000776B9" w:rsidP="000776B9">
            <w:pPr>
              <w:numPr>
                <w:ilvl w:val="0"/>
                <w:numId w:val="20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при переселении единовременное пособие   50000 руб.  получателю  и   по 30000 руб. членам  семьи;</w:t>
            </w:r>
          </w:p>
          <w:p w:rsidR="000776B9" w:rsidRDefault="000776B9" w:rsidP="000776B9">
            <w:pPr>
              <w:numPr>
                <w:ilvl w:val="0"/>
                <w:numId w:val="20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при переезде оплата найма жилого помещения на срок не более 60 суток, но не более 550 руб. в сутки;</w:t>
            </w:r>
          </w:p>
          <w:p w:rsidR="000776B9" w:rsidRDefault="000776B9" w:rsidP="000776B9">
            <w:pPr>
              <w:numPr>
                <w:ilvl w:val="0"/>
                <w:numId w:val="20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при переселении и переезде оплата провоза имущества до 20000 руб. на семью;</w:t>
            </w:r>
          </w:p>
          <w:p w:rsidR="000776B9" w:rsidRDefault="000776B9" w:rsidP="000776B9">
            <w:pPr>
              <w:numPr>
                <w:ilvl w:val="0"/>
                <w:numId w:val="20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при переселении и переезде оплата суточных в размере 100 руб./сутки за каждый день нахождения в пути следования к месту работы и обратно или к новому месту жительства</w:t>
            </w:r>
          </w:p>
        </w:tc>
      </w:tr>
      <w:tr w:rsidR="000776B9" w:rsidTr="000776B9">
        <w:trPr>
          <w:trHeight w:val="3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12.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 xml:space="preserve">Предоставление мер поддержки гражданам при переселении из других субъектов РФ в Самарскую область с целью трудоустройства                        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Трудоспособные граждане РФ  в возрасте от 18 лет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При переселении гражданам предоставляется:</w:t>
            </w:r>
          </w:p>
          <w:p w:rsidR="000776B9" w:rsidRDefault="000776B9" w:rsidP="000776B9">
            <w:pPr>
              <w:numPr>
                <w:ilvl w:val="0"/>
                <w:numId w:val="21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 xml:space="preserve">сертификат на </w:t>
            </w:r>
            <w:proofErr w:type="gramStart"/>
            <w:r>
              <w:rPr>
                <w:rFonts w:ascii="Standard Symbols PS" w:hAnsi="Standard Symbols PS"/>
              </w:rPr>
              <w:t>индивидуальное</w:t>
            </w:r>
            <w:proofErr w:type="gramEnd"/>
            <w:r>
              <w:rPr>
                <w:rFonts w:ascii="Standard Symbols PS" w:hAnsi="Standard Symbols PS"/>
              </w:rPr>
              <w:t xml:space="preserve"> сопровождение при переезде в Самарскую область;</w:t>
            </w:r>
          </w:p>
          <w:p w:rsidR="000776B9" w:rsidRDefault="000776B9" w:rsidP="000776B9">
            <w:pPr>
              <w:numPr>
                <w:ilvl w:val="0"/>
                <w:numId w:val="21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для граждан от 18 до 35 лет предоставление социальных  выплат в размере 200000 руб. в течение календарного года от даты трудоустройства.</w:t>
            </w:r>
          </w:p>
        </w:tc>
      </w:tr>
      <w:tr w:rsidR="000776B9" w:rsidTr="000776B9">
        <w:trPr>
          <w:trHeight w:val="3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13.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Оказание содействия добровольному переселению в Самарскую область соотечественников, проживающих за рубежом на 2014 – 2023 годы</w:t>
            </w:r>
          </w:p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Соотечественники - участники Программы</w:t>
            </w:r>
          </w:p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Финансовая поддержка гражданам:</w:t>
            </w:r>
          </w:p>
          <w:p w:rsidR="000776B9" w:rsidRDefault="000776B9" w:rsidP="000776B9">
            <w:pPr>
              <w:numPr>
                <w:ilvl w:val="0"/>
                <w:numId w:val="22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  <w:color w:val="000000" w:themeColor="dark1"/>
              </w:rPr>
              <w:t>оказание единовременной финансовой помощи на обустройство  в размере 20000 руб</w:t>
            </w:r>
            <w:r>
              <w:rPr>
                <w:rFonts w:ascii="Standard Symbols PS" w:hAnsi="Standard Symbols PS"/>
              </w:rPr>
              <w:t>. участнику и 10000 руб. каждому члену семьи</w:t>
            </w:r>
          </w:p>
          <w:p w:rsidR="000776B9" w:rsidRDefault="000776B9" w:rsidP="000776B9">
            <w:pPr>
              <w:numPr>
                <w:ilvl w:val="0"/>
                <w:numId w:val="22"/>
              </w:numPr>
              <w:jc w:val="center"/>
              <w:rPr>
                <w:rFonts w:ascii="Standard Symbols PS" w:hAnsi="Standard Symbols PS"/>
                <w:color w:val="000000" w:themeColor="dark1"/>
              </w:rPr>
            </w:pPr>
            <w:r>
              <w:rPr>
                <w:rFonts w:ascii="Standard Symbols PS" w:hAnsi="Standard Symbols PS"/>
                <w:color w:val="000000" w:themeColor="dark1"/>
              </w:rPr>
              <w:t>компенсация затрат участникам  на жилищное обустройство в размере не более 10000 рублей в месяц на период до 6 месяцев - в городских округах и не более 5000 рублей в месяц на период до 6 месяцев - в муниципальных районах Самарской области</w:t>
            </w:r>
          </w:p>
        </w:tc>
      </w:tr>
      <w:tr w:rsidR="000776B9" w:rsidTr="000776B9">
        <w:trPr>
          <w:trHeight w:val="3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14.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Предоставление мер поддержки молодым специалистам в Самарской области в рамках реализации Закона от 06.07.2015 №76-ГД «О молодом специалисте в Самарской области»</w:t>
            </w:r>
          </w:p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</w:p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proofErr w:type="gramStart"/>
            <w:r>
              <w:rPr>
                <w:rFonts w:ascii="Standard Symbols PS" w:hAnsi="Standard Symbols PS"/>
              </w:rPr>
              <w:t>Выпускники профессиональной образовательной организации или образовательной организации высшего образования в возрасте до 35 лет включительно, проживающие на территории Самарской области, трудоустроившиеся на работу в организацию, находящуюся на территории Самарской области, по полученной профессии (специальности), утвержденной распоряжением Правительства Самарской области от 28.12.2015 №1066-р (перечень востребованных профессий (специальностей) в течение шести месяцев со дня завершения обучения</w:t>
            </w:r>
            <w:proofErr w:type="gramEnd"/>
          </w:p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</w:p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Молодым специалистам перечисляют:</w:t>
            </w:r>
          </w:p>
          <w:p w:rsidR="000776B9" w:rsidRDefault="000776B9" w:rsidP="000776B9">
            <w:pPr>
              <w:numPr>
                <w:ilvl w:val="0"/>
                <w:numId w:val="23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ежегодную денежную выплату за каждый отработанный год (на протяжении трех лет) до 171 200,00 руб.;</w:t>
            </w:r>
          </w:p>
          <w:p w:rsidR="000776B9" w:rsidRDefault="000776B9" w:rsidP="000776B9">
            <w:pPr>
              <w:numPr>
                <w:ilvl w:val="0"/>
                <w:numId w:val="23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частичную компенсацию затрат на получение высшего образования или дополнительного профессионального образования;</w:t>
            </w:r>
          </w:p>
          <w:p w:rsidR="000776B9" w:rsidRDefault="000776B9" w:rsidP="000776B9">
            <w:pPr>
              <w:numPr>
                <w:ilvl w:val="0"/>
                <w:numId w:val="23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частичную компенсацию затрат на научно-исследовательскую и инновационную деятельность;</w:t>
            </w:r>
          </w:p>
          <w:p w:rsidR="000776B9" w:rsidRDefault="000776B9" w:rsidP="000776B9">
            <w:pPr>
              <w:numPr>
                <w:ilvl w:val="0"/>
                <w:numId w:val="23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частичную компенсацию расходов по временному найму жилого помещения (ежемесячно, за исключением расходов на коммунальные услуги);</w:t>
            </w:r>
          </w:p>
          <w:p w:rsidR="000776B9" w:rsidRDefault="000776B9" w:rsidP="000776B9">
            <w:pPr>
              <w:numPr>
                <w:ilvl w:val="0"/>
                <w:numId w:val="23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частичную компенсацию затрат на оплату ежемесячного платежа по ипотечному кредиту (ежеквартально, в течение трех лет с даты трудоустройства).</w:t>
            </w:r>
          </w:p>
        </w:tc>
      </w:tr>
      <w:tr w:rsidR="000776B9" w:rsidTr="000776B9">
        <w:trPr>
          <w:trHeight w:val="3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15.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Содействие работодателя в подборе необходимых работников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Работодатели, з</w:t>
            </w:r>
            <w:r>
              <w:rPr>
                <w:rFonts w:ascii="Standard Symbols PS" w:hAnsi="Standard Symbols PS"/>
                <w:highlight w:val="white"/>
              </w:rPr>
              <w:t>арегистрированные в регистрах получателей государственных услуг в сфере занятости населения (банке работодателей и вакансий)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B9" w:rsidRDefault="000776B9" w:rsidP="000776B9">
            <w:pPr>
              <w:numPr>
                <w:ilvl w:val="0"/>
                <w:numId w:val="24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  <w:highlight w:val="white"/>
              </w:rPr>
              <w:t>Результатом предоставления государственной услуги в части содействия работодателям в подборе необходимых работников является выдача работодателю перечня кандидатур граждан для подбора необходимых работников.</w:t>
            </w:r>
          </w:p>
          <w:p w:rsidR="000776B9" w:rsidRDefault="000776B9" w:rsidP="000776B9">
            <w:pPr>
              <w:numPr>
                <w:ilvl w:val="0"/>
                <w:numId w:val="24"/>
              </w:numPr>
              <w:jc w:val="center"/>
              <w:rPr>
                <w:rFonts w:ascii="Standard Symbols PS" w:hAnsi="Standard Symbols PS"/>
              </w:rPr>
            </w:pPr>
            <w:proofErr w:type="gramStart"/>
            <w:r>
              <w:rPr>
                <w:rFonts w:ascii="Standard Symbols PS" w:hAnsi="Standard Symbols PS"/>
              </w:rPr>
              <w:t>При обращении за услугой в кадровой центр работодатель может:</w:t>
            </w:r>
            <w:proofErr w:type="gramEnd"/>
          </w:p>
          <w:p w:rsidR="000776B9" w:rsidRDefault="000776B9" w:rsidP="000776B9">
            <w:pPr>
              <w:numPr>
                <w:ilvl w:val="0"/>
                <w:numId w:val="25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получить резюме кандидатов, подходящих под ваши требования;</w:t>
            </w:r>
          </w:p>
          <w:p w:rsidR="000776B9" w:rsidRDefault="000776B9" w:rsidP="000776B9">
            <w:pPr>
              <w:numPr>
                <w:ilvl w:val="0"/>
                <w:numId w:val="25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>запросить мероприятие по массовому отбору будущих сотрудников на площадке кадрового центра;</w:t>
            </w:r>
          </w:p>
          <w:p w:rsidR="000776B9" w:rsidRDefault="000776B9" w:rsidP="000776B9">
            <w:pPr>
              <w:numPr>
                <w:ilvl w:val="0"/>
                <w:numId w:val="25"/>
              </w:numPr>
              <w:jc w:val="center"/>
              <w:rPr>
                <w:rFonts w:ascii="Standard Symbols PS" w:hAnsi="Standard Symbols PS"/>
              </w:rPr>
            </w:pPr>
            <w:r>
              <w:rPr>
                <w:rFonts w:ascii="Standard Symbols PS" w:hAnsi="Standard Symbols PS"/>
              </w:rPr>
              <w:t xml:space="preserve">заказать проведение собеседования  на площадке кадрового центра или формате </w:t>
            </w:r>
            <w:proofErr w:type="spellStart"/>
            <w:r>
              <w:rPr>
                <w:rFonts w:ascii="Standard Symbols PS" w:hAnsi="Standard Symbols PS"/>
              </w:rPr>
              <w:t>видеоинтервью</w:t>
            </w:r>
            <w:proofErr w:type="spellEnd"/>
            <w:r>
              <w:rPr>
                <w:rFonts w:ascii="Standard Symbols PS" w:hAnsi="Standard Symbols PS"/>
              </w:rPr>
              <w:t>.</w:t>
            </w:r>
          </w:p>
        </w:tc>
      </w:tr>
    </w:tbl>
    <w:p w:rsidR="00EF46A1" w:rsidRDefault="00EF46A1">
      <w:pPr>
        <w:rPr>
          <w:rFonts w:ascii="Standard Symbols PS" w:hAnsi="Standard Symbols PS"/>
        </w:rPr>
      </w:pPr>
    </w:p>
    <w:sectPr w:rsidR="00EF46A1">
      <w:pgSz w:w="16838" w:h="11906" w:orient="landscape"/>
      <w:pgMar w:top="1134" w:right="737" w:bottom="1134" w:left="13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tandard Symbols P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373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DB4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157C7680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E9F70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D8586E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2F964AD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5BC54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DD2921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3656FB4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77A7401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A800B8D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3F720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4A5E3BCC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E9436A4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2F36D0F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3314836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DD58AE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A26246C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E4D0498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B0613CB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F2E18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B008D6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34E594D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53F381B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EF011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16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13"/>
  </w:num>
  <w:num w:numId="12">
    <w:abstractNumId w:val="1"/>
  </w:num>
  <w:num w:numId="13">
    <w:abstractNumId w:val="9"/>
  </w:num>
  <w:num w:numId="14">
    <w:abstractNumId w:val="12"/>
  </w:num>
  <w:num w:numId="15">
    <w:abstractNumId w:val="23"/>
  </w:num>
  <w:num w:numId="16">
    <w:abstractNumId w:val="18"/>
  </w:num>
  <w:num w:numId="17">
    <w:abstractNumId w:val="22"/>
  </w:num>
  <w:num w:numId="18">
    <w:abstractNumId w:val="0"/>
  </w:num>
  <w:num w:numId="19">
    <w:abstractNumId w:val="19"/>
  </w:num>
  <w:num w:numId="20">
    <w:abstractNumId w:val="10"/>
  </w:num>
  <w:num w:numId="21">
    <w:abstractNumId w:val="5"/>
  </w:num>
  <w:num w:numId="22">
    <w:abstractNumId w:val="17"/>
  </w:num>
  <w:num w:numId="23">
    <w:abstractNumId w:val="4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A1"/>
    <w:rsid w:val="000776B9"/>
    <w:rsid w:val="00DF1D99"/>
    <w:rsid w:val="00E53F27"/>
    <w:rsid w:val="00E933AE"/>
    <w:rsid w:val="00EF46A1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customStyle="1" w:styleId="Contents8">
    <w:name w:val="Contents 8"/>
    <w:link w:val="Contents80"/>
    <w:rPr>
      <w:sz w:val="28"/>
    </w:rPr>
  </w:style>
  <w:style w:type="character" w:customStyle="1" w:styleId="Contents80">
    <w:name w:val="Contents 8"/>
    <w:link w:val="Contents8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paragraph" w:customStyle="1" w:styleId="Heading11">
    <w:name w:val="Heading 11"/>
    <w:link w:val="Heading110"/>
    <w:rPr>
      <w:b/>
      <w:sz w:val="32"/>
    </w:rPr>
  </w:style>
  <w:style w:type="character" w:customStyle="1" w:styleId="Heading110">
    <w:name w:val="Heading 11"/>
    <w:link w:val="Heading11"/>
    <w:rPr>
      <w:b/>
      <w:sz w:val="32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12">
    <w:name w:val="Заголовок1"/>
    <w:basedOn w:val="1"/>
    <w:rPr>
      <w:rFonts w:ascii="Open Sans" w:hAnsi="Open Sans"/>
      <w:sz w:val="28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paragraph" w:customStyle="1" w:styleId="Contents5">
    <w:name w:val="Contents 5"/>
    <w:link w:val="Contents50"/>
    <w:rPr>
      <w:sz w:val="28"/>
    </w:rPr>
  </w:style>
  <w:style w:type="character" w:customStyle="1" w:styleId="Contents50">
    <w:name w:val="Contents 5"/>
    <w:link w:val="Contents5"/>
    <w:rPr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sz w:val="22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Contents9">
    <w:name w:val="Contents 9"/>
    <w:link w:val="Contents90"/>
    <w:rPr>
      <w:sz w:val="28"/>
    </w:rPr>
  </w:style>
  <w:style w:type="character" w:customStyle="1" w:styleId="Contents90">
    <w:name w:val="Contents 9"/>
    <w:link w:val="Contents9"/>
    <w:rPr>
      <w:sz w:val="28"/>
    </w:rPr>
  </w:style>
  <w:style w:type="paragraph" w:customStyle="1" w:styleId="a6">
    <w:name w:val="Колонтитул"/>
    <w:link w:val="a7"/>
    <w:pPr>
      <w:jc w:val="both"/>
    </w:pPr>
    <w:rPr>
      <w:sz w:val="20"/>
    </w:rPr>
  </w:style>
  <w:style w:type="character" w:customStyle="1" w:styleId="a7">
    <w:name w:val="Колонтитул"/>
    <w:link w:val="a6"/>
    <w:rPr>
      <w:sz w:val="20"/>
    </w:rPr>
  </w:style>
  <w:style w:type="paragraph" w:customStyle="1" w:styleId="Contents1">
    <w:name w:val="Contents 1"/>
    <w:link w:val="Contents10"/>
    <w:rPr>
      <w:b/>
      <w:sz w:val="28"/>
    </w:rPr>
  </w:style>
  <w:style w:type="character" w:customStyle="1" w:styleId="Contents10">
    <w:name w:val="Contents 1"/>
    <w:link w:val="Contents1"/>
    <w:rPr>
      <w:b/>
      <w:sz w:val="28"/>
    </w:rPr>
  </w:style>
  <w:style w:type="paragraph" w:customStyle="1" w:styleId="Endnote1">
    <w:name w:val="Endnote1"/>
    <w:link w:val="Endnote10"/>
    <w:pPr>
      <w:ind w:firstLine="851"/>
      <w:jc w:val="both"/>
    </w:pPr>
    <w:rPr>
      <w:sz w:val="22"/>
    </w:rPr>
  </w:style>
  <w:style w:type="character" w:customStyle="1" w:styleId="Endnote10">
    <w:name w:val="Endnote1"/>
    <w:link w:val="Endnote1"/>
    <w:rPr>
      <w:sz w:val="22"/>
    </w:rPr>
  </w:style>
  <w:style w:type="paragraph" w:customStyle="1" w:styleId="Heading51">
    <w:name w:val="Heading 51"/>
    <w:link w:val="Heading510"/>
    <w:rPr>
      <w:b/>
      <w:sz w:val="22"/>
    </w:rPr>
  </w:style>
  <w:style w:type="character" w:customStyle="1" w:styleId="Heading510">
    <w:name w:val="Heading 51"/>
    <w:link w:val="Heading51"/>
    <w:rPr>
      <w:b/>
      <w:sz w:val="22"/>
    </w:rPr>
  </w:style>
  <w:style w:type="paragraph" w:customStyle="1" w:styleId="Contents3">
    <w:name w:val="Contents 3"/>
    <w:link w:val="Contents30"/>
    <w:rPr>
      <w:sz w:val="28"/>
    </w:rPr>
  </w:style>
  <w:style w:type="character" w:customStyle="1" w:styleId="Contents30">
    <w:name w:val="Contents 3"/>
    <w:link w:val="Contents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paragraph" w:customStyle="1" w:styleId="Contents6">
    <w:name w:val="Contents 6"/>
    <w:link w:val="Contents60"/>
    <w:rPr>
      <w:sz w:val="28"/>
    </w:rPr>
  </w:style>
  <w:style w:type="character" w:customStyle="1" w:styleId="Contents60">
    <w:name w:val="Contents 6"/>
    <w:link w:val="Contents6"/>
    <w:rPr>
      <w:sz w:val="2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Subtitle1">
    <w:name w:val="Subtitle1"/>
    <w:link w:val="Subtitle10"/>
    <w:rPr>
      <w:i/>
    </w:rPr>
  </w:style>
  <w:style w:type="character" w:customStyle="1" w:styleId="Subtitle10">
    <w:name w:val="Subtitle1"/>
    <w:link w:val="Subtitle1"/>
    <w:rPr>
      <w:i/>
    </w:rPr>
  </w:style>
  <w:style w:type="character" w:customStyle="1" w:styleId="50">
    <w:name w:val="Заголовок 5 Знак"/>
    <w:link w:val="5"/>
    <w:rPr>
      <w:b/>
      <w:sz w:val="22"/>
    </w:rPr>
  </w:style>
  <w:style w:type="paragraph" w:customStyle="1" w:styleId="Contents2">
    <w:name w:val="Contents 2"/>
    <w:link w:val="Contents20"/>
    <w:rPr>
      <w:sz w:val="28"/>
    </w:rPr>
  </w:style>
  <w:style w:type="character" w:customStyle="1" w:styleId="Contents20">
    <w:name w:val="Contents 2"/>
    <w:link w:val="Contents2"/>
    <w:rPr>
      <w:sz w:val="28"/>
    </w:rPr>
  </w:style>
  <w:style w:type="paragraph" w:customStyle="1" w:styleId="Contents4">
    <w:name w:val="Contents 4"/>
    <w:link w:val="Contents40"/>
    <w:rPr>
      <w:sz w:val="28"/>
    </w:rPr>
  </w:style>
  <w:style w:type="character" w:customStyle="1" w:styleId="Contents40">
    <w:name w:val="Contents 4"/>
    <w:link w:val="Contents4"/>
    <w:rPr>
      <w:sz w:val="28"/>
    </w:rPr>
  </w:style>
  <w:style w:type="paragraph" w:styleId="a8">
    <w:name w:val="List"/>
    <w:basedOn w:val="a4"/>
    <w:link w:val="a9"/>
  </w:style>
  <w:style w:type="character" w:customStyle="1" w:styleId="a9">
    <w:name w:val="Список Знак"/>
    <w:basedOn w:val="aa"/>
    <w:link w:val="a8"/>
    <w:rPr>
      <w:sz w:val="28"/>
    </w:rPr>
  </w:style>
  <w:style w:type="paragraph" w:customStyle="1" w:styleId="Contents7">
    <w:name w:val="Contents 7"/>
    <w:link w:val="Contents70"/>
    <w:rPr>
      <w:sz w:val="28"/>
    </w:rPr>
  </w:style>
  <w:style w:type="character" w:customStyle="1" w:styleId="Contents70">
    <w:name w:val="Contents 7"/>
    <w:link w:val="Contents7"/>
    <w:rPr>
      <w:sz w:val="28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Footnote1">
    <w:name w:val="Footnote1"/>
    <w:link w:val="Footnote10"/>
    <w:pPr>
      <w:ind w:firstLine="851"/>
      <w:jc w:val="both"/>
    </w:pPr>
    <w:rPr>
      <w:sz w:val="22"/>
    </w:rPr>
  </w:style>
  <w:style w:type="character" w:customStyle="1" w:styleId="Footnote10">
    <w:name w:val="Footnote1"/>
    <w:link w:val="Footnote1"/>
    <w:rPr>
      <w:sz w:val="2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5">
    <w:name w:val="toc 1"/>
    <w:next w:val="a"/>
    <w:link w:val="16"/>
    <w:uiPriority w:val="39"/>
    <w:rPr>
      <w:b/>
      <w:sz w:val="28"/>
    </w:rPr>
  </w:style>
  <w:style w:type="character" w:customStyle="1" w:styleId="16">
    <w:name w:val="Оглавление 1 Знак"/>
    <w:link w:val="15"/>
    <w:rPr>
      <w:b/>
      <w:sz w:val="28"/>
    </w:rPr>
  </w:style>
  <w:style w:type="paragraph" w:styleId="ac">
    <w:name w:val="caption"/>
    <w:basedOn w:val="a"/>
    <w:link w:val="ad"/>
    <w:pPr>
      <w:spacing w:before="120" w:after="120"/>
    </w:pPr>
    <w:rPr>
      <w:i/>
      <w:sz w:val="24"/>
    </w:rPr>
  </w:style>
  <w:style w:type="character" w:customStyle="1" w:styleId="ad">
    <w:name w:val="Название объекта Знак"/>
    <w:basedOn w:val="1"/>
    <w:link w:val="ac"/>
    <w:rPr>
      <w:i/>
      <w:sz w:val="24"/>
    </w:rPr>
  </w:style>
  <w:style w:type="paragraph" w:customStyle="1" w:styleId="HeaderandFooter">
    <w:name w:val="Header and Footer"/>
    <w:link w:val="HeaderandFooter0"/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Heading41">
    <w:name w:val="Heading 41"/>
    <w:link w:val="Heading410"/>
    <w:rPr>
      <w:b/>
    </w:rPr>
  </w:style>
  <w:style w:type="character" w:customStyle="1" w:styleId="Heading410">
    <w:name w:val="Heading 41"/>
    <w:link w:val="Heading41"/>
    <w:rPr>
      <w:b/>
    </w:rPr>
  </w:style>
  <w:style w:type="paragraph" w:customStyle="1" w:styleId="17">
    <w:name w:val="Обычный1"/>
    <w:link w:val="18"/>
    <w:rPr>
      <w:sz w:val="28"/>
    </w:rPr>
  </w:style>
  <w:style w:type="character" w:customStyle="1" w:styleId="18">
    <w:name w:val="Обычный1"/>
    <w:link w:val="17"/>
    <w:rPr>
      <w:rFonts w:ascii="XO Thames" w:hAnsi="XO Thames"/>
      <w:color w:val="000000"/>
      <w:spacing w:val="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customStyle="1" w:styleId="Title1">
    <w:name w:val="Title1"/>
    <w:link w:val="Title10"/>
    <w:rPr>
      <w:b/>
      <w:caps/>
      <w:sz w:val="40"/>
    </w:rPr>
  </w:style>
  <w:style w:type="character" w:customStyle="1" w:styleId="Title10">
    <w:name w:val="Title1"/>
    <w:link w:val="Title1"/>
    <w:rPr>
      <w:b/>
      <w:caps/>
      <w:sz w:val="40"/>
    </w:rPr>
  </w:style>
  <w:style w:type="paragraph" w:customStyle="1" w:styleId="Heading21">
    <w:name w:val="Heading 21"/>
    <w:link w:val="Heading210"/>
    <w:rPr>
      <w:b/>
      <w:sz w:val="28"/>
    </w:rPr>
  </w:style>
  <w:style w:type="character" w:customStyle="1" w:styleId="Heading210">
    <w:name w:val="Heading 21"/>
    <w:link w:val="Heading21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ae">
    <w:name w:val="index heading"/>
    <w:basedOn w:val="a"/>
    <w:link w:val="af"/>
  </w:style>
  <w:style w:type="character" w:customStyle="1" w:styleId="af">
    <w:name w:val="Указатель Знак"/>
    <w:basedOn w:val="1"/>
    <w:link w:val="ae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4"/>
    <w:rPr>
      <w:sz w:val="28"/>
    </w:rPr>
  </w:style>
  <w:style w:type="paragraph" w:customStyle="1" w:styleId="Heading31">
    <w:name w:val="Heading 31"/>
    <w:link w:val="Heading310"/>
    <w:rPr>
      <w:b/>
      <w:sz w:val="26"/>
    </w:rPr>
  </w:style>
  <w:style w:type="character" w:customStyle="1" w:styleId="Heading310">
    <w:name w:val="Heading 31"/>
    <w:link w:val="Heading31"/>
    <w:rPr>
      <w:b/>
      <w:sz w:val="26"/>
    </w:rPr>
  </w:style>
  <w:style w:type="paragraph" w:styleId="af0">
    <w:name w:val="Subtitle"/>
    <w:next w:val="a"/>
    <w:link w:val="af1"/>
    <w:uiPriority w:val="11"/>
    <w:qFormat/>
    <w:pPr>
      <w:jc w:val="both"/>
    </w:pPr>
    <w:rPr>
      <w:i/>
    </w:rPr>
  </w:style>
  <w:style w:type="character" w:customStyle="1" w:styleId="af1">
    <w:name w:val="Подзаголовок Знак"/>
    <w:link w:val="af0"/>
    <w:rPr>
      <w:i/>
    </w:rPr>
  </w:style>
  <w:style w:type="paragraph" w:customStyle="1" w:styleId="19">
    <w:name w:val="Основной шрифт абзаца1"/>
  </w:style>
  <w:style w:type="character" w:customStyle="1" w:styleId="a5">
    <w:name w:val="Название Знак"/>
    <w:link w:val="a3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customStyle="1" w:styleId="Contents8">
    <w:name w:val="Contents 8"/>
    <w:link w:val="Contents80"/>
    <w:rPr>
      <w:sz w:val="28"/>
    </w:rPr>
  </w:style>
  <w:style w:type="character" w:customStyle="1" w:styleId="Contents80">
    <w:name w:val="Contents 8"/>
    <w:link w:val="Contents8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paragraph" w:customStyle="1" w:styleId="Heading11">
    <w:name w:val="Heading 11"/>
    <w:link w:val="Heading110"/>
    <w:rPr>
      <w:b/>
      <w:sz w:val="32"/>
    </w:rPr>
  </w:style>
  <w:style w:type="character" w:customStyle="1" w:styleId="Heading110">
    <w:name w:val="Heading 11"/>
    <w:link w:val="Heading11"/>
    <w:rPr>
      <w:b/>
      <w:sz w:val="32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12">
    <w:name w:val="Заголовок1"/>
    <w:basedOn w:val="1"/>
    <w:rPr>
      <w:rFonts w:ascii="Open Sans" w:hAnsi="Open Sans"/>
      <w:sz w:val="28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paragraph" w:customStyle="1" w:styleId="Contents5">
    <w:name w:val="Contents 5"/>
    <w:link w:val="Contents50"/>
    <w:rPr>
      <w:sz w:val="28"/>
    </w:rPr>
  </w:style>
  <w:style w:type="character" w:customStyle="1" w:styleId="Contents50">
    <w:name w:val="Contents 5"/>
    <w:link w:val="Contents5"/>
    <w:rPr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sz w:val="22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Contents9">
    <w:name w:val="Contents 9"/>
    <w:link w:val="Contents90"/>
    <w:rPr>
      <w:sz w:val="28"/>
    </w:rPr>
  </w:style>
  <w:style w:type="character" w:customStyle="1" w:styleId="Contents90">
    <w:name w:val="Contents 9"/>
    <w:link w:val="Contents9"/>
    <w:rPr>
      <w:sz w:val="28"/>
    </w:rPr>
  </w:style>
  <w:style w:type="paragraph" w:customStyle="1" w:styleId="a6">
    <w:name w:val="Колонтитул"/>
    <w:link w:val="a7"/>
    <w:pPr>
      <w:jc w:val="both"/>
    </w:pPr>
    <w:rPr>
      <w:sz w:val="20"/>
    </w:rPr>
  </w:style>
  <w:style w:type="character" w:customStyle="1" w:styleId="a7">
    <w:name w:val="Колонтитул"/>
    <w:link w:val="a6"/>
    <w:rPr>
      <w:sz w:val="20"/>
    </w:rPr>
  </w:style>
  <w:style w:type="paragraph" w:customStyle="1" w:styleId="Contents1">
    <w:name w:val="Contents 1"/>
    <w:link w:val="Contents10"/>
    <w:rPr>
      <w:b/>
      <w:sz w:val="28"/>
    </w:rPr>
  </w:style>
  <w:style w:type="character" w:customStyle="1" w:styleId="Contents10">
    <w:name w:val="Contents 1"/>
    <w:link w:val="Contents1"/>
    <w:rPr>
      <w:b/>
      <w:sz w:val="28"/>
    </w:rPr>
  </w:style>
  <w:style w:type="paragraph" w:customStyle="1" w:styleId="Endnote1">
    <w:name w:val="Endnote1"/>
    <w:link w:val="Endnote10"/>
    <w:pPr>
      <w:ind w:firstLine="851"/>
      <w:jc w:val="both"/>
    </w:pPr>
    <w:rPr>
      <w:sz w:val="22"/>
    </w:rPr>
  </w:style>
  <w:style w:type="character" w:customStyle="1" w:styleId="Endnote10">
    <w:name w:val="Endnote1"/>
    <w:link w:val="Endnote1"/>
    <w:rPr>
      <w:sz w:val="22"/>
    </w:rPr>
  </w:style>
  <w:style w:type="paragraph" w:customStyle="1" w:styleId="Heading51">
    <w:name w:val="Heading 51"/>
    <w:link w:val="Heading510"/>
    <w:rPr>
      <w:b/>
      <w:sz w:val="22"/>
    </w:rPr>
  </w:style>
  <w:style w:type="character" w:customStyle="1" w:styleId="Heading510">
    <w:name w:val="Heading 51"/>
    <w:link w:val="Heading51"/>
    <w:rPr>
      <w:b/>
      <w:sz w:val="22"/>
    </w:rPr>
  </w:style>
  <w:style w:type="paragraph" w:customStyle="1" w:styleId="Contents3">
    <w:name w:val="Contents 3"/>
    <w:link w:val="Contents30"/>
    <w:rPr>
      <w:sz w:val="28"/>
    </w:rPr>
  </w:style>
  <w:style w:type="character" w:customStyle="1" w:styleId="Contents30">
    <w:name w:val="Contents 3"/>
    <w:link w:val="Contents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paragraph" w:customStyle="1" w:styleId="Contents6">
    <w:name w:val="Contents 6"/>
    <w:link w:val="Contents60"/>
    <w:rPr>
      <w:sz w:val="28"/>
    </w:rPr>
  </w:style>
  <w:style w:type="character" w:customStyle="1" w:styleId="Contents60">
    <w:name w:val="Contents 6"/>
    <w:link w:val="Contents6"/>
    <w:rPr>
      <w:sz w:val="2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Subtitle1">
    <w:name w:val="Subtitle1"/>
    <w:link w:val="Subtitle10"/>
    <w:rPr>
      <w:i/>
    </w:rPr>
  </w:style>
  <w:style w:type="character" w:customStyle="1" w:styleId="Subtitle10">
    <w:name w:val="Subtitle1"/>
    <w:link w:val="Subtitle1"/>
    <w:rPr>
      <w:i/>
    </w:rPr>
  </w:style>
  <w:style w:type="character" w:customStyle="1" w:styleId="50">
    <w:name w:val="Заголовок 5 Знак"/>
    <w:link w:val="5"/>
    <w:rPr>
      <w:b/>
      <w:sz w:val="22"/>
    </w:rPr>
  </w:style>
  <w:style w:type="paragraph" w:customStyle="1" w:styleId="Contents2">
    <w:name w:val="Contents 2"/>
    <w:link w:val="Contents20"/>
    <w:rPr>
      <w:sz w:val="28"/>
    </w:rPr>
  </w:style>
  <w:style w:type="character" w:customStyle="1" w:styleId="Contents20">
    <w:name w:val="Contents 2"/>
    <w:link w:val="Contents2"/>
    <w:rPr>
      <w:sz w:val="28"/>
    </w:rPr>
  </w:style>
  <w:style w:type="paragraph" w:customStyle="1" w:styleId="Contents4">
    <w:name w:val="Contents 4"/>
    <w:link w:val="Contents40"/>
    <w:rPr>
      <w:sz w:val="28"/>
    </w:rPr>
  </w:style>
  <w:style w:type="character" w:customStyle="1" w:styleId="Contents40">
    <w:name w:val="Contents 4"/>
    <w:link w:val="Contents4"/>
    <w:rPr>
      <w:sz w:val="28"/>
    </w:rPr>
  </w:style>
  <w:style w:type="paragraph" w:styleId="a8">
    <w:name w:val="List"/>
    <w:basedOn w:val="a4"/>
    <w:link w:val="a9"/>
  </w:style>
  <w:style w:type="character" w:customStyle="1" w:styleId="a9">
    <w:name w:val="Список Знак"/>
    <w:basedOn w:val="aa"/>
    <w:link w:val="a8"/>
    <w:rPr>
      <w:sz w:val="28"/>
    </w:rPr>
  </w:style>
  <w:style w:type="paragraph" w:customStyle="1" w:styleId="Contents7">
    <w:name w:val="Contents 7"/>
    <w:link w:val="Contents70"/>
    <w:rPr>
      <w:sz w:val="28"/>
    </w:rPr>
  </w:style>
  <w:style w:type="character" w:customStyle="1" w:styleId="Contents70">
    <w:name w:val="Contents 7"/>
    <w:link w:val="Contents7"/>
    <w:rPr>
      <w:sz w:val="28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Footnote1">
    <w:name w:val="Footnote1"/>
    <w:link w:val="Footnote10"/>
    <w:pPr>
      <w:ind w:firstLine="851"/>
      <w:jc w:val="both"/>
    </w:pPr>
    <w:rPr>
      <w:sz w:val="22"/>
    </w:rPr>
  </w:style>
  <w:style w:type="character" w:customStyle="1" w:styleId="Footnote10">
    <w:name w:val="Footnote1"/>
    <w:link w:val="Footnote1"/>
    <w:rPr>
      <w:sz w:val="2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5">
    <w:name w:val="toc 1"/>
    <w:next w:val="a"/>
    <w:link w:val="16"/>
    <w:uiPriority w:val="39"/>
    <w:rPr>
      <w:b/>
      <w:sz w:val="28"/>
    </w:rPr>
  </w:style>
  <w:style w:type="character" w:customStyle="1" w:styleId="16">
    <w:name w:val="Оглавление 1 Знак"/>
    <w:link w:val="15"/>
    <w:rPr>
      <w:b/>
      <w:sz w:val="28"/>
    </w:rPr>
  </w:style>
  <w:style w:type="paragraph" w:styleId="ac">
    <w:name w:val="caption"/>
    <w:basedOn w:val="a"/>
    <w:link w:val="ad"/>
    <w:pPr>
      <w:spacing w:before="120" w:after="120"/>
    </w:pPr>
    <w:rPr>
      <w:i/>
      <w:sz w:val="24"/>
    </w:rPr>
  </w:style>
  <w:style w:type="character" w:customStyle="1" w:styleId="ad">
    <w:name w:val="Название объекта Знак"/>
    <w:basedOn w:val="1"/>
    <w:link w:val="ac"/>
    <w:rPr>
      <w:i/>
      <w:sz w:val="24"/>
    </w:rPr>
  </w:style>
  <w:style w:type="paragraph" w:customStyle="1" w:styleId="HeaderandFooter">
    <w:name w:val="Header and Footer"/>
    <w:link w:val="HeaderandFooter0"/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Heading41">
    <w:name w:val="Heading 41"/>
    <w:link w:val="Heading410"/>
    <w:rPr>
      <w:b/>
    </w:rPr>
  </w:style>
  <w:style w:type="character" w:customStyle="1" w:styleId="Heading410">
    <w:name w:val="Heading 41"/>
    <w:link w:val="Heading41"/>
    <w:rPr>
      <w:b/>
    </w:rPr>
  </w:style>
  <w:style w:type="paragraph" w:customStyle="1" w:styleId="17">
    <w:name w:val="Обычный1"/>
    <w:link w:val="18"/>
    <w:rPr>
      <w:sz w:val="28"/>
    </w:rPr>
  </w:style>
  <w:style w:type="character" w:customStyle="1" w:styleId="18">
    <w:name w:val="Обычный1"/>
    <w:link w:val="17"/>
    <w:rPr>
      <w:rFonts w:ascii="XO Thames" w:hAnsi="XO Thames"/>
      <w:color w:val="000000"/>
      <w:spacing w:val="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customStyle="1" w:styleId="Title1">
    <w:name w:val="Title1"/>
    <w:link w:val="Title10"/>
    <w:rPr>
      <w:b/>
      <w:caps/>
      <w:sz w:val="40"/>
    </w:rPr>
  </w:style>
  <w:style w:type="character" w:customStyle="1" w:styleId="Title10">
    <w:name w:val="Title1"/>
    <w:link w:val="Title1"/>
    <w:rPr>
      <w:b/>
      <w:caps/>
      <w:sz w:val="40"/>
    </w:rPr>
  </w:style>
  <w:style w:type="paragraph" w:customStyle="1" w:styleId="Heading21">
    <w:name w:val="Heading 21"/>
    <w:link w:val="Heading210"/>
    <w:rPr>
      <w:b/>
      <w:sz w:val="28"/>
    </w:rPr>
  </w:style>
  <w:style w:type="character" w:customStyle="1" w:styleId="Heading210">
    <w:name w:val="Heading 21"/>
    <w:link w:val="Heading21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ae">
    <w:name w:val="index heading"/>
    <w:basedOn w:val="a"/>
    <w:link w:val="af"/>
  </w:style>
  <w:style w:type="character" w:customStyle="1" w:styleId="af">
    <w:name w:val="Указатель Знак"/>
    <w:basedOn w:val="1"/>
    <w:link w:val="ae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4"/>
    <w:rPr>
      <w:sz w:val="28"/>
    </w:rPr>
  </w:style>
  <w:style w:type="paragraph" w:customStyle="1" w:styleId="Heading31">
    <w:name w:val="Heading 31"/>
    <w:link w:val="Heading310"/>
    <w:rPr>
      <w:b/>
      <w:sz w:val="26"/>
    </w:rPr>
  </w:style>
  <w:style w:type="character" w:customStyle="1" w:styleId="Heading310">
    <w:name w:val="Heading 31"/>
    <w:link w:val="Heading31"/>
    <w:rPr>
      <w:b/>
      <w:sz w:val="26"/>
    </w:rPr>
  </w:style>
  <w:style w:type="paragraph" w:styleId="af0">
    <w:name w:val="Subtitle"/>
    <w:next w:val="a"/>
    <w:link w:val="af1"/>
    <w:uiPriority w:val="11"/>
    <w:qFormat/>
    <w:pPr>
      <w:jc w:val="both"/>
    </w:pPr>
    <w:rPr>
      <w:i/>
    </w:rPr>
  </w:style>
  <w:style w:type="character" w:customStyle="1" w:styleId="af1">
    <w:name w:val="Подзаголовок Знак"/>
    <w:link w:val="af0"/>
    <w:rPr>
      <w:i/>
    </w:rPr>
  </w:style>
  <w:style w:type="paragraph" w:customStyle="1" w:styleId="19">
    <w:name w:val="Основной шрифт абзаца1"/>
  </w:style>
  <w:style w:type="character" w:customStyle="1" w:styleId="a5">
    <w:name w:val="Название Знак"/>
    <w:link w:val="a3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63000"/>
              </a:schemeClr>
            </a:gs>
            <a:gs pos="100000">
              <a:schemeClr val="phClr">
                <a:tint val="8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0">
          <a:prstDash val="solid"/>
        </a:ln>
        <a:ln w="0">
          <a:prstDash val="solid"/>
        </a:ln>
        <a:ln w="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</a:schemeClr>
            </a:gs>
            <a:gs pos="40000">
              <a:schemeClr val="phClr">
                <a:tint val="5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2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 Элла Васильевна</dc:creator>
  <cp:lastModifiedBy>Леоненко Элла Васильевна</cp:lastModifiedBy>
  <cp:revision>5</cp:revision>
  <dcterms:created xsi:type="dcterms:W3CDTF">2023-10-18T08:54:00Z</dcterms:created>
  <dcterms:modified xsi:type="dcterms:W3CDTF">2023-10-20T12:10:00Z</dcterms:modified>
</cp:coreProperties>
</file>