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0" w:rsidRDefault="00CF3A90" w:rsidP="00CF3A9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внесении изменени</w:t>
      </w:r>
      <w:r w:rsidR="00EA3B57">
        <w:rPr>
          <w:rFonts w:eastAsia="Times New Roman"/>
          <w:b/>
          <w:bCs/>
          <w:lang w:eastAsia="ru-RU"/>
        </w:rPr>
        <w:t>я</w:t>
      </w:r>
      <w:r>
        <w:rPr>
          <w:rFonts w:eastAsia="Times New Roman"/>
          <w:b/>
          <w:bCs/>
          <w:lang w:eastAsia="ru-RU"/>
        </w:rPr>
        <w:t xml:space="preserve"> в Положение «О муниципальном </w:t>
      </w:r>
      <w:r w:rsidR="00226B77">
        <w:rPr>
          <w:rFonts w:eastAsia="Times New Roman"/>
          <w:b/>
          <w:bCs/>
          <w:lang w:eastAsia="ru-RU"/>
        </w:rPr>
        <w:t>земельном</w:t>
      </w:r>
      <w:r>
        <w:rPr>
          <w:rFonts w:eastAsia="Times New Roman"/>
          <w:b/>
          <w:bCs/>
          <w:lang w:eastAsia="ru-RU"/>
        </w:rPr>
        <w:t xml:space="preserve">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</w:t>
      </w:r>
      <w:r w:rsidR="00226B77">
        <w:rPr>
          <w:rFonts w:eastAsia="Times New Roman"/>
          <w:b/>
          <w:bCs/>
          <w:lang w:eastAsia="ru-RU"/>
        </w:rPr>
        <w:t>2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</w:t>
      </w:r>
      <w:r w:rsidR="00EA3B57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 Положение      </w:t>
      </w:r>
      <w:r w:rsidR="000D73A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«О муниципальном </w:t>
      </w:r>
      <w:r w:rsidR="00226B77">
        <w:rPr>
          <w:rFonts w:eastAsia="Times New Roman"/>
          <w:lang w:eastAsia="ru-RU"/>
        </w:rPr>
        <w:t>земельном</w:t>
      </w:r>
      <w:r>
        <w:rPr>
          <w:rFonts w:eastAsia="Times New Roman"/>
          <w:lang w:eastAsia="ru-RU"/>
        </w:rPr>
        <w:t xml:space="preserve">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</w:t>
      </w:r>
      <w:r w:rsidR="00226B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, Совет депутатов Советского внутригородского района городского округа Самара </w:t>
      </w:r>
    </w:p>
    <w:p w:rsidR="00CF3A90" w:rsidRDefault="00CF3A90" w:rsidP="00226B77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CF3A90" w:rsidRDefault="00CF3A90" w:rsidP="00226B77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B369B4" w:rsidRDefault="00B369B4" w:rsidP="00226B77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proofErr w:type="gramStart"/>
      <w:r w:rsidR="00B80BFF">
        <w:rPr>
          <w:rFonts w:eastAsia="Times New Roman"/>
          <w:lang w:eastAsia="ru-RU"/>
        </w:rPr>
        <w:t>Приложение</w:t>
      </w:r>
      <w:r w:rsidR="00B80BFF" w:rsidRPr="009A1D1F">
        <w:rPr>
          <w:rFonts w:eastAsia="Times New Roman"/>
          <w:lang w:eastAsia="ru-RU"/>
        </w:rPr>
        <w:t xml:space="preserve"> 1 «Перечень индикаторов риска нарушений обязательных требований при осуществлении муниципального </w:t>
      </w:r>
      <w:r w:rsidR="00B80BFF">
        <w:rPr>
          <w:rFonts w:eastAsia="Times New Roman"/>
          <w:lang w:eastAsia="ru-RU"/>
        </w:rPr>
        <w:t xml:space="preserve">земельного </w:t>
      </w:r>
      <w:r w:rsidR="00B80BFF" w:rsidRPr="009A1D1F">
        <w:rPr>
          <w:rFonts w:eastAsia="Times New Roman"/>
          <w:lang w:eastAsia="ru-RU"/>
        </w:rPr>
        <w:t xml:space="preserve">контроля на территории Советского внутригородского района городского округа Самара» </w:t>
      </w:r>
      <w:r w:rsidR="00014EE3">
        <w:rPr>
          <w:rFonts w:eastAsia="Times New Roman"/>
          <w:lang w:eastAsia="ru-RU"/>
        </w:rPr>
        <w:t xml:space="preserve">к </w:t>
      </w:r>
      <w:r w:rsidRPr="00921544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оложени</w:t>
      </w:r>
      <w:r w:rsidR="00014EE3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</w:t>
      </w:r>
      <w:r w:rsidRPr="00921544">
        <w:rPr>
          <w:rFonts w:eastAsia="Times New Roman"/>
          <w:lang w:eastAsia="ru-RU"/>
        </w:rPr>
        <w:t xml:space="preserve">«О муниципальном </w:t>
      </w:r>
      <w:r>
        <w:rPr>
          <w:rFonts w:eastAsia="Times New Roman"/>
          <w:lang w:eastAsia="ru-RU"/>
        </w:rPr>
        <w:t xml:space="preserve">земельном контроле </w:t>
      </w:r>
      <w:r w:rsidRPr="00921544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утвержденно</w:t>
      </w:r>
      <w:r w:rsidR="00953106">
        <w:rPr>
          <w:rFonts w:eastAsia="Times New Roman"/>
          <w:lang w:eastAsia="ru-RU"/>
        </w:rPr>
        <w:t>му</w:t>
      </w:r>
      <w:bookmarkStart w:id="0" w:name="_GoBack"/>
      <w:bookmarkEnd w:id="0"/>
      <w:r w:rsidRPr="00921544">
        <w:rPr>
          <w:rFonts w:eastAsia="Times New Roman"/>
          <w:lang w:eastAsia="ru-RU"/>
        </w:rPr>
        <w:t xml:space="preserve"> Решением Совета депутатов Советского внутригородского </w:t>
      </w:r>
      <w:r>
        <w:rPr>
          <w:rFonts w:eastAsia="Times New Roman"/>
          <w:lang w:eastAsia="ru-RU"/>
        </w:rPr>
        <w:t xml:space="preserve">района городского округа Самара </w:t>
      </w:r>
      <w:r w:rsidRPr="00921544">
        <w:rPr>
          <w:rFonts w:eastAsia="Times New Roman"/>
          <w:lang w:eastAsia="ru-RU"/>
        </w:rPr>
        <w:t>от 25 октябр</w:t>
      </w:r>
      <w:r w:rsidR="002A2E59">
        <w:rPr>
          <w:rFonts w:eastAsia="Times New Roman"/>
          <w:lang w:eastAsia="ru-RU"/>
        </w:rPr>
        <w:t>я 2021 года № 62 (</w:t>
      </w:r>
      <w:r>
        <w:rPr>
          <w:rFonts w:eastAsia="Times New Roman"/>
          <w:lang w:eastAsia="ru-RU"/>
        </w:rPr>
        <w:t>в редакции Решений Совета депутатов Советского внутригородского района городского</w:t>
      </w:r>
      <w:proofErr w:type="gramEnd"/>
      <w:r>
        <w:rPr>
          <w:rFonts w:eastAsia="Times New Roman"/>
          <w:lang w:eastAsia="ru-RU"/>
        </w:rPr>
        <w:t xml:space="preserve"> округа Самара от 27 декабря 2021 года № 79, от 28 июня 2022 года № 102</w:t>
      </w:r>
      <w:r w:rsidR="00B80BFF">
        <w:rPr>
          <w:rFonts w:eastAsia="Times New Roman"/>
          <w:lang w:eastAsia="ru-RU"/>
        </w:rPr>
        <w:t>, от 24 мая 2023 года № 141</w:t>
      </w:r>
      <w:r>
        <w:rPr>
          <w:rFonts w:eastAsia="Times New Roman"/>
          <w:lang w:eastAsia="ru-RU"/>
        </w:rPr>
        <w:t xml:space="preserve">) </w:t>
      </w:r>
      <w:r w:rsidR="00B80BFF" w:rsidRPr="009A1D1F">
        <w:rPr>
          <w:rFonts w:eastAsia="Times New Roman"/>
          <w:lang w:eastAsia="ru-RU"/>
        </w:rPr>
        <w:t>изложить в редакции согласно приложению к настоящему Решению.</w:t>
      </w: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1D1F">
        <w:rPr>
          <w:rFonts w:eastAsia="Times New Roman"/>
          <w:lang w:eastAsia="ru-RU"/>
        </w:rPr>
        <w:lastRenderedPageBreak/>
        <w:t>2. Официально опубликовать настоящее Решение.</w:t>
      </w:r>
    </w:p>
    <w:p w:rsidR="0003026E" w:rsidRDefault="0003026E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226B77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1D1F">
        <w:rPr>
          <w:rFonts w:eastAsia="Times New Roman"/>
          <w:lang w:eastAsia="ru-RU"/>
        </w:rPr>
        <w:t>3. Настоящее Решение вступает в силу со дня его официального опубликования.</w:t>
      </w:r>
    </w:p>
    <w:p w:rsidR="00B80BFF" w:rsidRDefault="00B80BFF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226B77" w:rsidRPr="00663E38" w:rsidRDefault="00226B77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Pr="002E58F3">
        <w:rPr>
          <w:rFonts w:eastAsia="Times New Roman"/>
          <w:lang w:eastAsia="ru-RU"/>
        </w:rPr>
        <w:t>Комитет по местному самоуправлению.</w:t>
      </w:r>
    </w:p>
    <w:p w:rsidR="00CF3A90" w:rsidRDefault="00CF3A90" w:rsidP="00226B77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77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77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226B77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3A90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:rsidR="00CF3A90" w:rsidRDefault="00CF3A90" w:rsidP="00CF3A90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226B77" w:rsidRDefault="00226B77" w:rsidP="000645C9">
      <w:pPr>
        <w:ind w:left="4536"/>
        <w:rPr>
          <w:rFonts w:eastAsia="Times New Roman"/>
          <w:lang w:eastAsia="ru-RU"/>
        </w:rPr>
      </w:pP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lastRenderedPageBreak/>
        <w:t>Приложение</w:t>
      </w:r>
    </w:p>
    <w:p w:rsidR="000645C9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к Решению Совета депутатов 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>Советского внутригородского района городского округа Самара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«</w:t>
      </w:r>
      <w:r w:rsidRPr="00F26881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»_______</w:t>
      </w:r>
      <w:r w:rsidRPr="00F26881">
        <w:rPr>
          <w:rFonts w:eastAsia="Times New Roman"/>
          <w:lang w:eastAsia="ru-RU"/>
        </w:rPr>
        <w:t>___ 202</w:t>
      </w:r>
      <w:r>
        <w:rPr>
          <w:rFonts w:eastAsia="Times New Roman"/>
          <w:lang w:eastAsia="ru-RU"/>
        </w:rPr>
        <w:t>3</w:t>
      </w:r>
      <w:r w:rsidRPr="00F26881">
        <w:rPr>
          <w:rFonts w:eastAsia="Times New Roman"/>
          <w:lang w:eastAsia="ru-RU"/>
        </w:rPr>
        <w:t xml:space="preserve"> года № _____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right"/>
      </w:pPr>
    </w:p>
    <w:p w:rsidR="00B369B4" w:rsidRDefault="00B369B4" w:rsidP="00B369B4">
      <w:pPr>
        <w:jc w:val="right"/>
      </w:pPr>
      <w:r>
        <w:t>«Приложение 1</w:t>
      </w:r>
    </w:p>
    <w:p w:rsidR="00713153" w:rsidRDefault="00B369B4" w:rsidP="00B369B4">
      <w:pPr>
        <w:jc w:val="right"/>
      </w:pPr>
      <w:r>
        <w:t>к</w:t>
      </w:r>
      <w:r w:rsidRPr="00533A32">
        <w:t xml:space="preserve"> </w:t>
      </w:r>
      <w:r w:rsidR="00713153">
        <w:t>Положению</w:t>
      </w:r>
    </w:p>
    <w:p w:rsidR="00B369B4" w:rsidRDefault="00B369B4" w:rsidP="00B369B4">
      <w:pPr>
        <w:jc w:val="right"/>
      </w:pPr>
      <w:r w:rsidRPr="00C13833">
        <w:t xml:space="preserve">«О муниципальном </w:t>
      </w:r>
      <w:r w:rsidR="00226B77">
        <w:t>земельном</w:t>
      </w:r>
      <w:r>
        <w:t xml:space="preserve"> </w:t>
      </w:r>
      <w:r w:rsidR="00713153">
        <w:t>контроле</w:t>
      </w:r>
    </w:p>
    <w:p w:rsidR="00713153" w:rsidRDefault="00B369B4" w:rsidP="00713153">
      <w:pPr>
        <w:jc w:val="right"/>
      </w:pPr>
      <w:r w:rsidRPr="00C13833">
        <w:t xml:space="preserve">на территории </w:t>
      </w:r>
      <w:proofErr w:type="gramStart"/>
      <w:r w:rsidRPr="00C13833">
        <w:t>Сов</w:t>
      </w:r>
      <w:r w:rsidR="00713153">
        <w:t>етского</w:t>
      </w:r>
      <w:proofErr w:type="gramEnd"/>
      <w:r w:rsidR="00713153">
        <w:t xml:space="preserve"> </w:t>
      </w:r>
    </w:p>
    <w:p w:rsidR="00713153" w:rsidRDefault="00713153" w:rsidP="00713153">
      <w:pPr>
        <w:jc w:val="right"/>
      </w:pPr>
      <w:r>
        <w:t>внутригородского района</w:t>
      </w:r>
    </w:p>
    <w:p w:rsidR="00B369B4" w:rsidRDefault="00713153" w:rsidP="00713153">
      <w:pPr>
        <w:jc w:val="right"/>
      </w:pPr>
      <w:r>
        <w:t xml:space="preserve"> </w:t>
      </w:r>
      <w:r w:rsidR="00B369B4" w:rsidRPr="00C13833">
        <w:t>городского округа Самара»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center"/>
      </w:pPr>
    </w:p>
    <w:p w:rsidR="00B80BFF" w:rsidRDefault="00B80BFF" w:rsidP="00B80BFF">
      <w:pPr>
        <w:jc w:val="center"/>
      </w:pPr>
      <w:r>
        <w:t>Перечень индикаторов риска нарушений обязательных требований при осуществлении муниципального земельного контроля на территории Советского внутригородского района городского округа Самара</w:t>
      </w:r>
    </w:p>
    <w:p w:rsidR="00B80BFF" w:rsidRDefault="00B80BFF" w:rsidP="00B80BFF">
      <w:pPr>
        <w:jc w:val="center"/>
      </w:pPr>
    </w:p>
    <w:p w:rsidR="00B80BFF" w:rsidRDefault="00B80BFF" w:rsidP="00B80BFF">
      <w:pPr>
        <w:jc w:val="center"/>
      </w:pP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1.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10%.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3. </w:t>
      </w:r>
      <w:proofErr w:type="gramStart"/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t xml:space="preserve"> на 40 сантиметров.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lastRenderedPageBreak/>
        <w:t xml:space="preserve">4. </w:t>
      </w:r>
      <w:proofErr w:type="gramStart"/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  <w:proofErr w:type="gramEnd"/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5. </w:t>
      </w:r>
      <w:proofErr w:type="gramStart"/>
      <w: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>
        <w:t xml:space="preserve"> на          1 метр.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8.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9. </w:t>
      </w:r>
      <w:proofErr w:type="gramStart"/>
      <w:r>
        <w:t xml:space="preserve"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</w:t>
      </w:r>
      <w:r>
        <w:lastRenderedPageBreak/>
        <w:t>рекультивации земельного участка в случае, если соответствующий срок установлен нормативным правовым актам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B80BFF" w:rsidRDefault="00B80BFF" w:rsidP="00B80B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t xml:space="preserve">11. </w:t>
      </w:r>
      <w:proofErr w:type="gramStart"/>
      <w:r>
        <w:t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нецелевому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насаждений.».</w:t>
      </w:r>
      <w:proofErr w:type="gramEnd"/>
    </w:p>
    <w:p w:rsidR="003C0ECC" w:rsidRDefault="003C0ECC" w:rsidP="00226B77">
      <w:pPr>
        <w:jc w:val="center"/>
      </w:pPr>
    </w:p>
    <w:sectPr w:rsidR="003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14EE3"/>
    <w:rsid w:val="0003026E"/>
    <w:rsid w:val="000645C9"/>
    <w:rsid w:val="00081C6C"/>
    <w:rsid w:val="000D73A7"/>
    <w:rsid w:val="001429D7"/>
    <w:rsid w:val="00226B77"/>
    <w:rsid w:val="002A2E59"/>
    <w:rsid w:val="00334E89"/>
    <w:rsid w:val="00347D96"/>
    <w:rsid w:val="003902D4"/>
    <w:rsid w:val="003B0893"/>
    <w:rsid w:val="003C0ECC"/>
    <w:rsid w:val="00410575"/>
    <w:rsid w:val="00446D54"/>
    <w:rsid w:val="00464EBA"/>
    <w:rsid w:val="004853F4"/>
    <w:rsid w:val="004E4B6D"/>
    <w:rsid w:val="00533A32"/>
    <w:rsid w:val="00547A67"/>
    <w:rsid w:val="00613F19"/>
    <w:rsid w:val="006B40E6"/>
    <w:rsid w:val="00713153"/>
    <w:rsid w:val="00805A21"/>
    <w:rsid w:val="008B255F"/>
    <w:rsid w:val="00921544"/>
    <w:rsid w:val="00953106"/>
    <w:rsid w:val="00A72E6F"/>
    <w:rsid w:val="00B12A12"/>
    <w:rsid w:val="00B369B4"/>
    <w:rsid w:val="00B72700"/>
    <w:rsid w:val="00B72824"/>
    <w:rsid w:val="00B80BFF"/>
    <w:rsid w:val="00C13833"/>
    <w:rsid w:val="00CA0692"/>
    <w:rsid w:val="00CB592D"/>
    <w:rsid w:val="00CF3A90"/>
    <w:rsid w:val="00D60268"/>
    <w:rsid w:val="00D86A64"/>
    <w:rsid w:val="00E4733F"/>
    <w:rsid w:val="00E55C95"/>
    <w:rsid w:val="00E6621A"/>
    <w:rsid w:val="00EA3B57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22</cp:revision>
  <dcterms:created xsi:type="dcterms:W3CDTF">2021-12-15T11:02:00Z</dcterms:created>
  <dcterms:modified xsi:type="dcterms:W3CDTF">2023-09-21T11:06:00Z</dcterms:modified>
</cp:coreProperties>
</file>